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56BC4" w14:textId="77777777" w:rsidR="000171EB" w:rsidRPr="00381494" w:rsidRDefault="006F4CDF" w:rsidP="00C17F56">
      <w:pPr>
        <w:pStyle w:val="CoverA"/>
      </w:pPr>
      <w:r>
        <w:t>UK/Australia Season 2021-22</w:t>
      </w:r>
    </w:p>
    <w:p w14:paraId="44F40CBA" w14:textId="77777777" w:rsidR="003140C7" w:rsidRPr="00381494" w:rsidRDefault="001B2E1D" w:rsidP="001F2942">
      <w:r w:rsidRPr="00381494">
        <w:rPr>
          <w:noProof/>
          <w:color w:val="FFFFFF" w:themeColor="background1"/>
        </w:rPr>
        <mc:AlternateContent>
          <mc:Choice Requires="wps">
            <w:drawing>
              <wp:anchor distT="0" distB="0" distL="114300" distR="114300" simplePos="0" relativeHeight="251661311" behindDoc="0" locked="0" layoutInCell="1" allowOverlap="0" wp14:anchorId="2C931FC4" wp14:editId="23365A67">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0D2EE66"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o:allowoverlap="f" strokecolor="#230859 [3215]" strokeweight="3pt">
                <v:stroke endcap="round"/>
                <w10:wrap type="through"/>
              </v:line>
            </w:pict>
          </mc:Fallback>
        </mc:AlternateContent>
      </w:r>
    </w:p>
    <w:p w14:paraId="61992332" w14:textId="77777777" w:rsidR="006F4CDF" w:rsidRDefault="006F4CDF" w:rsidP="007E4D04">
      <w:pPr>
        <w:pStyle w:val="CoverTitle"/>
        <w:rPr>
          <w:sz w:val="52"/>
        </w:rPr>
      </w:pPr>
      <w:r w:rsidRPr="006F4CDF">
        <w:rPr>
          <w:sz w:val="52"/>
        </w:rPr>
        <w:t xml:space="preserve">Education Expression of Interest </w:t>
      </w:r>
      <w:r>
        <w:rPr>
          <w:sz w:val="52"/>
        </w:rPr>
        <w:t>B</w:t>
      </w:r>
      <w:r w:rsidRPr="006F4CDF">
        <w:rPr>
          <w:sz w:val="52"/>
        </w:rPr>
        <w:t>rief</w:t>
      </w:r>
    </w:p>
    <w:p w14:paraId="4AE81705" w14:textId="77777777" w:rsidR="006F4CDF" w:rsidRPr="00680F27" w:rsidRDefault="006F4CDF" w:rsidP="006F4CDF">
      <w:pPr>
        <w:pStyle w:val="HeadingA"/>
        <w:rPr>
          <w:shd w:val="clear" w:color="auto" w:fill="FFFFFF"/>
        </w:rPr>
      </w:pPr>
      <w:r w:rsidRPr="00680F27">
        <w:rPr>
          <w:shd w:val="clear" w:color="auto" w:fill="FFFFFF"/>
        </w:rPr>
        <w:t>About the UK/Australia Season</w:t>
      </w:r>
    </w:p>
    <w:p w14:paraId="44C7FD33" w14:textId="77777777" w:rsidR="006F4CDF" w:rsidRPr="003A7A9C" w:rsidRDefault="006F4CDF" w:rsidP="006F4CDF">
      <w:pPr>
        <w:rPr>
          <w:shd w:val="clear" w:color="auto" w:fill="FFFFFF"/>
        </w:rPr>
      </w:pPr>
      <w:r w:rsidRPr="003A7A9C">
        <w:rPr>
          <w:shd w:val="clear" w:color="auto" w:fill="FFFFFF"/>
        </w:rPr>
        <w:t xml:space="preserve">The Season is a joint initiative by the British Council and the Australian Government’s Department of Foreign Affairs and Trade to strengthen and build cultural connections. The Australian programme will take place in the UK from August to November 2021, and the UK programme in Australia from September 2021 to March 2022. </w:t>
      </w:r>
    </w:p>
    <w:p w14:paraId="474953F6" w14:textId="77777777" w:rsidR="006F4CDF" w:rsidRPr="003A7A9C" w:rsidRDefault="006F4CDF" w:rsidP="006F4CDF">
      <w:pPr>
        <w:rPr>
          <w:shd w:val="clear" w:color="auto" w:fill="FFFFFF"/>
        </w:rPr>
      </w:pPr>
      <w:r w:rsidRPr="003A7A9C">
        <w:rPr>
          <w:shd w:val="clear" w:color="auto" w:fill="FFFFFF"/>
        </w:rPr>
        <w:t xml:space="preserve">Under the theme </w:t>
      </w:r>
      <w:r>
        <w:rPr>
          <w:shd w:val="clear" w:color="auto" w:fill="FFFFFF"/>
        </w:rPr>
        <w:t>‘</w:t>
      </w:r>
      <w:r w:rsidRPr="00C33C90">
        <w:rPr>
          <w:i/>
          <w:iCs/>
        </w:rPr>
        <w:t xml:space="preserve">Who Are </w:t>
      </w:r>
      <w:r>
        <w:rPr>
          <w:i/>
          <w:iCs/>
        </w:rPr>
        <w:t>W</w:t>
      </w:r>
      <w:r w:rsidRPr="00C33C90">
        <w:rPr>
          <w:i/>
          <w:iCs/>
        </w:rPr>
        <w:t>e Now</w:t>
      </w:r>
      <w:r w:rsidRPr="003A7A9C">
        <w:rPr>
          <w:i/>
          <w:iCs/>
          <w:shd w:val="clear" w:color="auto" w:fill="FFFFFF"/>
        </w:rPr>
        <w:t>?</w:t>
      </w:r>
      <w:r w:rsidRPr="003A7A9C">
        <w:rPr>
          <w:shd w:val="clear" w:color="auto" w:fill="FFFFFF"/>
        </w:rPr>
        <w:t>’</w:t>
      </w:r>
      <w:r>
        <w:rPr>
          <w:shd w:val="clear" w:color="auto" w:fill="FFFFFF"/>
        </w:rPr>
        <w:t>,</w:t>
      </w:r>
      <w:r w:rsidRPr="003A7A9C">
        <w:rPr>
          <w:shd w:val="clear" w:color="auto" w:fill="FFFFFF"/>
        </w:rPr>
        <w:t xml:space="preserve"> and particularly in light of the COVID pandemic, the Season will reflect on both nations’ shared history and culture. The Season will explore the UK and Australia’s current relationship, and imagine our future by bringing together artists, universities, and civil society leaders from both countries in a diverse and inclusive way.</w:t>
      </w:r>
    </w:p>
    <w:p w14:paraId="63ABF9FF" w14:textId="03C03D7D" w:rsidR="006F4CDF" w:rsidRPr="00E069C7" w:rsidRDefault="006F4CDF" w:rsidP="006F4CDF">
      <w:r w:rsidRPr="006E11BC">
        <w:t xml:space="preserve">The UK and Australian higher education sectors have extensive and historic links, shared academic values and support high quality, globally recognised mass systems of higher education. The UK/Australia Season provides an opportunity to focus on areas where there is substantial common ground between the two sectors in terms of priorities and interests and explore and identify ways in which cooperation and collaboration can be enhanced in order to achieve long-term mutual benefit. </w:t>
      </w:r>
    </w:p>
    <w:p w14:paraId="57A28BEB" w14:textId="77777777" w:rsidR="006F4CDF" w:rsidRPr="00480A58" w:rsidRDefault="006F4CDF" w:rsidP="006F4CDF">
      <w:pPr>
        <w:pStyle w:val="HeadingA"/>
      </w:pPr>
      <w:r>
        <w:t xml:space="preserve">The Theme: </w:t>
      </w:r>
      <w:r w:rsidRPr="00480A58">
        <w:t>Who Are We Now?</w:t>
      </w:r>
    </w:p>
    <w:p w14:paraId="11DE9FE0" w14:textId="77777777" w:rsidR="006F4CDF" w:rsidRPr="00C33C90" w:rsidRDefault="006F4CDF" w:rsidP="006F4CDF">
      <w:r w:rsidRPr="00C33C90">
        <w:t xml:space="preserve">The </w:t>
      </w:r>
      <w:r>
        <w:t>UK/Australia Season</w:t>
      </w:r>
      <w:r w:rsidRPr="00C33C90">
        <w:t xml:space="preserve"> will </w:t>
      </w:r>
      <w:r>
        <w:t>support the development of</w:t>
      </w:r>
      <w:r w:rsidRPr="00C33C90">
        <w:t xml:space="preserve"> closer links between the UK and Australian </w:t>
      </w:r>
      <w:r>
        <w:t>higher education (HE)</w:t>
      </w:r>
      <w:r w:rsidRPr="00C33C90">
        <w:t xml:space="preserve"> sectors through a series of events and activities which </w:t>
      </w:r>
      <w:r>
        <w:t>align with the</w:t>
      </w:r>
      <w:r w:rsidRPr="00C33C90">
        <w:t xml:space="preserve"> overarching</w:t>
      </w:r>
      <w:r>
        <w:t xml:space="preserve"> theme</w:t>
      </w:r>
      <w:r w:rsidRPr="00C33C90">
        <w:t xml:space="preserve"> of </w:t>
      </w:r>
      <w:r w:rsidRPr="00C33C90">
        <w:rPr>
          <w:i/>
          <w:iCs/>
        </w:rPr>
        <w:t xml:space="preserve">Who Are </w:t>
      </w:r>
      <w:r>
        <w:rPr>
          <w:i/>
          <w:iCs/>
        </w:rPr>
        <w:t>W</w:t>
      </w:r>
      <w:r w:rsidRPr="00C33C90">
        <w:rPr>
          <w:i/>
          <w:iCs/>
        </w:rPr>
        <w:t>e Now</w:t>
      </w:r>
      <w:r>
        <w:rPr>
          <w:i/>
          <w:iCs/>
        </w:rPr>
        <w:t>?</w:t>
      </w:r>
      <w:r w:rsidRPr="00C33C90">
        <w:t xml:space="preserve"> by focusing on four key areas of common interest</w:t>
      </w:r>
      <w:r>
        <w:t xml:space="preserve"> and where they intersect. The sub-themes include but are not limited to:</w:t>
      </w:r>
    </w:p>
    <w:p w14:paraId="24A7FE43" w14:textId="77777777" w:rsidR="006F4CDF" w:rsidRPr="001B447F" w:rsidRDefault="006F4CDF" w:rsidP="006F4CDF">
      <w:pPr>
        <w:pStyle w:val="ListParagraph"/>
        <w:numPr>
          <w:ilvl w:val="0"/>
          <w:numId w:val="33"/>
        </w:numPr>
      </w:pPr>
      <w:r w:rsidRPr="006F4CDF">
        <w:rPr>
          <w:b/>
        </w:rPr>
        <w:t>Innovation:</w:t>
      </w:r>
      <w:r w:rsidRPr="001B447F">
        <w:t xml:space="preserve"> 4</w:t>
      </w:r>
      <w:r w:rsidRPr="006F4CDF">
        <w:rPr>
          <w:vertAlign w:val="superscript"/>
        </w:rPr>
        <w:t>th</w:t>
      </w:r>
      <w:r w:rsidRPr="001B447F">
        <w:t xml:space="preserve"> industrial revolution, science and health, arts practice and creative industries  </w:t>
      </w:r>
    </w:p>
    <w:p w14:paraId="5BD2186B" w14:textId="77777777" w:rsidR="006F4CDF" w:rsidRPr="001B447F" w:rsidRDefault="006F4CDF" w:rsidP="006F4CDF">
      <w:pPr>
        <w:pStyle w:val="ListParagraph"/>
        <w:numPr>
          <w:ilvl w:val="0"/>
          <w:numId w:val="33"/>
        </w:numPr>
      </w:pPr>
      <w:r w:rsidRPr="006F4CDF">
        <w:rPr>
          <w:b/>
        </w:rPr>
        <w:t>Environment:</w:t>
      </w:r>
      <w:r w:rsidRPr="001B447F">
        <w:t xml:space="preserve"> collaboration on sustainability, climate, green growth, biodiversity, sci-communications</w:t>
      </w:r>
    </w:p>
    <w:p w14:paraId="25FFB709" w14:textId="77777777" w:rsidR="006F4CDF" w:rsidRPr="001B447F" w:rsidRDefault="006F4CDF" w:rsidP="006F4CDF">
      <w:pPr>
        <w:pStyle w:val="ListParagraph"/>
        <w:numPr>
          <w:ilvl w:val="0"/>
          <w:numId w:val="33"/>
        </w:numPr>
      </w:pPr>
      <w:r w:rsidRPr="006F4CDF">
        <w:rPr>
          <w:b/>
        </w:rPr>
        <w:t>Equality, diversity &amp; inclusion:</w:t>
      </w:r>
      <w:r w:rsidRPr="001B447F">
        <w:t xml:space="preserve"> decolonization, structural inequities in sectors, public engagement    </w:t>
      </w:r>
    </w:p>
    <w:p w14:paraId="5E1D98E7" w14:textId="77777777" w:rsidR="006F4CDF" w:rsidRPr="001B447F" w:rsidRDefault="006F4CDF" w:rsidP="006F4CDF">
      <w:pPr>
        <w:pStyle w:val="ListParagraph"/>
        <w:numPr>
          <w:ilvl w:val="0"/>
          <w:numId w:val="33"/>
        </w:numPr>
      </w:pPr>
      <w:r w:rsidRPr="006F4CDF">
        <w:rPr>
          <w:b/>
        </w:rPr>
        <w:t>Cultural relations:</w:t>
      </w:r>
      <w:r w:rsidRPr="001B447F">
        <w:t xml:space="preserve"> ‘national identity’, soft power, future of cultural policy and international collaboration. </w:t>
      </w:r>
    </w:p>
    <w:p w14:paraId="307FBE72" w14:textId="77777777" w:rsidR="006F4CDF" w:rsidRPr="00266D9C" w:rsidRDefault="006F4CDF" w:rsidP="006F4CDF">
      <w:r w:rsidRPr="00266D9C">
        <w:t xml:space="preserve">The Education </w:t>
      </w:r>
      <w:r>
        <w:t>programme</w:t>
      </w:r>
      <w:r w:rsidRPr="00266D9C">
        <w:t xml:space="preserve"> will provide a platform </w:t>
      </w:r>
      <w:r>
        <w:t>for the two HE sectors to showcase</w:t>
      </w:r>
      <w:r w:rsidRPr="00266D9C">
        <w:t xml:space="preserve"> their expertise, shar</w:t>
      </w:r>
      <w:r>
        <w:t>e</w:t>
      </w:r>
      <w:r w:rsidRPr="00266D9C">
        <w:t xml:space="preserve"> ground-breaking research, exchang</w:t>
      </w:r>
      <w:r>
        <w:t>e</w:t>
      </w:r>
      <w:r w:rsidRPr="00266D9C">
        <w:t xml:space="preserve"> ideas</w:t>
      </w:r>
      <w:r>
        <w:t xml:space="preserve">, </w:t>
      </w:r>
      <w:r w:rsidRPr="00266D9C">
        <w:t>explor</w:t>
      </w:r>
      <w:r>
        <w:t>e</w:t>
      </w:r>
      <w:r w:rsidRPr="00266D9C">
        <w:t xml:space="preserve"> opportunities for new </w:t>
      </w:r>
      <w:r w:rsidRPr="00266D9C">
        <w:lastRenderedPageBreak/>
        <w:t>collaborations</w:t>
      </w:r>
      <w:r>
        <w:t xml:space="preserve"> and areas of cooperation and to announce new joint initiatives</w:t>
      </w:r>
      <w:r w:rsidRPr="00266D9C">
        <w:t xml:space="preserve">. </w:t>
      </w:r>
      <w:r>
        <w:t>It will also provide an opportunity to</w:t>
      </w:r>
      <w:r w:rsidRPr="00266D9C">
        <w:t xml:space="preserve"> bring researchers</w:t>
      </w:r>
      <w:r w:rsidRPr="005252F6">
        <w:t xml:space="preserve"> </w:t>
      </w:r>
      <w:r>
        <w:t>t</w:t>
      </w:r>
      <w:r w:rsidRPr="00266D9C">
        <w:t xml:space="preserve">ogether </w:t>
      </w:r>
      <w:r>
        <w:t xml:space="preserve">with </w:t>
      </w:r>
      <w:r w:rsidRPr="00266D9C">
        <w:t xml:space="preserve">artists and policymakers to investigate in greater depth some of </w:t>
      </w:r>
      <w:r>
        <w:t>the themes in the</w:t>
      </w:r>
      <w:r w:rsidRPr="00266D9C">
        <w:t xml:space="preserve"> Season</w:t>
      </w:r>
      <w:r>
        <w:t>’s main</w:t>
      </w:r>
      <w:r w:rsidRPr="00266D9C">
        <w:t xml:space="preserve"> </w:t>
      </w:r>
      <w:r>
        <w:t>programme. The Education programme will help</w:t>
      </w:r>
      <w:r w:rsidRPr="00266D9C">
        <w:t xml:space="preserve"> enhance audiences’ understanding of </w:t>
      </w:r>
      <w:r w:rsidRPr="00266D9C">
        <w:rPr>
          <w:i/>
          <w:iCs/>
        </w:rPr>
        <w:t>Who Are We Now</w:t>
      </w:r>
      <w:r w:rsidRPr="00266D9C">
        <w:t xml:space="preserve"> as well as providing a thought-provoking perspective on the nexus between the arts, </w:t>
      </w:r>
      <w:r>
        <w:t>science</w:t>
      </w:r>
      <w:r w:rsidRPr="00266D9C">
        <w:t xml:space="preserve"> and education.  </w:t>
      </w:r>
    </w:p>
    <w:p w14:paraId="2FB9DDCD" w14:textId="77777777" w:rsidR="006F4CDF" w:rsidRDefault="006F4CDF" w:rsidP="006F4CDF">
      <w:pPr>
        <w:pStyle w:val="HeadingB"/>
      </w:pPr>
      <w:r w:rsidRPr="00266D9C">
        <w:t xml:space="preserve">Objectives </w:t>
      </w:r>
    </w:p>
    <w:p w14:paraId="087ED8C5" w14:textId="77777777" w:rsidR="006F4CDF" w:rsidRPr="00FD13CD" w:rsidRDefault="006F4CDF" w:rsidP="006F4CDF">
      <w:r>
        <w:t>The</w:t>
      </w:r>
      <w:r w:rsidRPr="00266D9C">
        <w:t xml:space="preserve"> Education programme will:</w:t>
      </w:r>
    </w:p>
    <w:p w14:paraId="054EA223" w14:textId="77777777" w:rsidR="006F4CDF" w:rsidRPr="00266D9C" w:rsidRDefault="006F4CDF" w:rsidP="006F4CDF">
      <w:pPr>
        <w:pStyle w:val="ListParagraph"/>
        <w:numPr>
          <w:ilvl w:val="0"/>
          <w:numId w:val="34"/>
        </w:numPr>
      </w:pPr>
      <w:r w:rsidRPr="00266D9C">
        <w:t xml:space="preserve">Support </w:t>
      </w:r>
      <w:r>
        <w:t>and deepen</w:t>
      </w:r>
      <w:r w:rsidRPr="00266D9C">
        <w:t xml:space="preserve"> the ties that already exist between the UK and Australian HE sectors.</w:t>
      </w:r>
    </w:p>
    <w:p w14:paraId="34AEBE68" w14:textId="77777777" w:rsidR="006F4CDF" w:rsidRPr="00266D9C" w:rsidRDefault="006F4CDF" w:rsidP="006F4CDF">
      <w:pPr>
        <w:pStyle w:val="ListParagraph"/>
        <w:numPr>
          <w:ilvl w:val="0"/>
          <w:numId w:val="34"/>
        </w:numPr>
      </w:pPr>
      <w:r w:rsidRPr="00266D9C">
        <w:t xml:space="preserve">Provide a platform for the UK and Australia to explore and to share knowledge about some of the key challenges of our time. </w:t>
      </w:r>
    </w:p>
    <w:p w14:paraId="2ECB5D45" w14:textId="77777777" w:rsidR="006F4CDF" w:rsidRPr="00266D9C" w:rsidRDefault="006F4CDF" w:rsidP="006F4CDF">
      <w:pPr>
        <w:pStyle w:val="ListParagraph"/>
        <w:numPr>
          <w:ilvl w:val="0"/>
          <w:numId w:val="34"/>
        </w:numPr>
      </w:pPr>
      <w:r w:rsidRPr="00266D9C">
        <w:t>Help identify opportunities for new partnerships</w:t>
      </w:r>
      <w:r>
        <w:t>,</w:t>
      </w:r>
      <w:r w:rsidRPr="00266D9C">
        <w:t xml:space="preserve"> research collaborations</w:t>
      </w:r>
      <w:r>
        <w:t xml:space="preserve"> and </w:t>
      </w:r>
      <w:r w:rsidRPr="00A11437">
        <w:t>student/youth mobility and exchange.</w:t>
      </w:r>
      <w:r w:rsidRPr="00266D9C">
        <w:t xml:space="preserve"> </w:t>
      </w:r>
    </w:p>
    <w:p w14:paraId="4AC5F077" w14:textId="77777777" w:rsidR="006F4CDF" w:rsidRPr="00863528" w:rsidRDefault="006F4CDF" w:rsidP="006F4CDF">
      <w:pPr>
        <w:pStyle w:val="ListParagraph"/>
        <w:numPr>
          <w:ilvl w:val="0"/>
          <w:numId w:val="34"/>
        </w:numPr>
      </w:pPr>
      <w:r>
        <w:t xml:space="preserve">Complement and enhance </w:t>
      </w:r>
      <w:r w:rsidRPr="00266D9C">
        <w:t xml:space="preserve">the impact of the main Season programme by deepening audiences’ understanding of </w:t>
      </w:r>
      <w:r w:rsidRPr="006F4CDF">
        <w:rPr>
          <w:i/>
          <w:iCs/>
        </w:rPr>
        <w:t>Who Are We Now?</w:t>
      </w:r>
    </w:p>
    <w:p w14:paraId="26A6DB40" w14:textId="77777777" w:rsidR="006F4CDF" w:rsidRPr="00266D9C" w:rsidRDefault="006F4CDF" w:rsidP="00010D14">
      <w:pPr>
        <w:pStyle w:val="HeadingB"/>
      </w:pPr>
      <w:r>
        <w:t xml:space="preserve">What are we </w:t>
      </w:r>
      <w:r w:rsidRPr="00010D14">
        <w:t>looking</w:t>
      </w:r>
      <w:r>
        <w:t xml:space="preserve"> for</w:t>
      </w:r>
      <w:r w:rsidRPr="00266D9C">
        <w:t>?</w:t>
      </w:r>
    </w:p>
    <w:p w14:paraId="6A35EDCE" w14:textId="77777777" w:rsidR="006F4CDF" w:rsidRPr="007605FA" w:rsidRDefault="006F4CDF" w:rsidP="006F4CDF">
      <w:r w:rsidRPr="007605FA">
        <w:t>In this call we invite UK and Australian HE institutions to put forward proposals for compelling activities, events and happenings</w:t>
      </w:r>
      <w:r>
        <w:t xml:space="preserve"> to be delivered in Australia</w:t>
      </w:r>
      <w:r w:rsidRPr="007605FA">
        <w:t xml:space="preserve"> that speak to </w:t>
      </w:r>
      <w:r>
        <w:t xml:space="preserve">and explore </w:t>
      </w:r>
      <w:r w:rsidRPr="007605FA">
        <w:t xml:space="preserve">the core theme and the sub themes of the </w:t>
      </w:r>
      <w:r>
        <w:t xml:space="preserve">UK/Australia </w:t>
      </w:r>
      <w:r w:rsidRPr="007605FA">
        <w:t xml:space="preserve">Season. </w:t>
      </w:r>
    </w:p>
    <w:p w14:paraId="31F0E396" w14:textId="77777777" w:rsidR="006F4CDF" w:rsidRPr="007605FA" w:rsidRDefault="006F4CDF" w:rsidP="006F4CDF">
      <w:r w:rsidRPr="007605FA">
        <w:t>We are looking for:</w:t>
      </w:r>
    </w:p>
    <w:p w14:paraId="0157AC9D" w14:textId="77777777" w:rsidR="006F4CDF" w:rsidRPr="007605FA" w:rsidRDefault="006F4CDF" w:rsidP="006F4CDF">
      <w:pPr>
        <w:pStyle w:val="ListParagraph"/>
        <w:numPr>
          <w:ilvl w:val="0"/>
          <w:numId w:val="35"/>
        </w:numPr>
      </w:pPr>
      <w:r>
        <w:t>t</w:t>
      </w:r>
      <w:r w:rsidRPr="007605FA">
        <w:t>hought-provoking public engagement events</w:t>
      </w:r>
      <w:r>
        <w:t xml:space="preserve"> that will appeal to general audiences</w:t>
      </w:r>
      <w:r w:rsidRPr="007605FA">
        <w:t xml:space="preserve">; </w:t>
      </w:r>
    </w:p>
    <w:p w14:paraId="1B85C294" w14:textId="083CD0F5" w:rsidR="006F4CDF" w:rsidRPr="007605FA" w:rsidRDefault="0011278D" w:rsidP="006F4CDF">
      <w:pPr>
        <w:pStyle w:val="ListParagraph"/>
        <w:numPr>
          <w:ilvl w:val="0"/>
          <w:numId w:val="35"/>
        </w:numPr>
      </w:pPr>
      <w:r>
        <w:t>interactive</w:t>
      </w:r>
      <w:r w:rsidR="006F4CDF" w:rsidRPr="007605FA">
        <w:t xml:space="preserve"> activities which will attract and inspire younger audiences;</w:t>
      </w:r>
    </w:p>
    <w:p w14:paraId="75865C70" w14:textId="77777777" w:rsidR="006F4CDF" w:rsidRDefault="006F4CDF" w:rsidP="006F4CDF">
      <w:pPr>
        <w:pStyle w:val="ListParagraph"/>
        <w:numPr>
          <w:ilvl w:val="0"/>
          <w:numId w:val="35"/>
        </w:numPr>
      </w:pPr>
      <w:r w:rsidRPr="007605FA">
        <w:t xml:space="preserve">specialized events which bring together academics from the UK and Australian sectors – from </w:t>
      </w:r>
      <w:r>
        <w:t>graduate students and</w:t>
      </w:r>
      <w:r w:rsidRPr="007605FA">
        <w:t xml:space="preserve"> early career researchers</w:t>
      </w:r>
      <w:r>
        <w:t xml:space="preserve"> through to senior faculty</w:t>
      </w:r>
      <w:r w:rsidRPr="007605FA">
        <w:t xml:space="preserve"> – and which may result in ongoing partnerships. </w:t>
      </w:r>
    </w:p>
    <w:p w14:paraId="3E9534A1" w14:textId="77777777" w:rsidR="006F4CDF" w:rsidRDefault="006F4CDF" w:rsidP="006F4CDF">
      <w:pPr>
        <w:pStyle w:val="ListParagraph"/>
        <w:numPr>
          <w:ilvl w:val="0"/>
          <w:numId w:val="35"/>
        </w:numPr>
      </w:pPr>
      <w:r>
        <w:t>Ideation events that seed new collaborative research projects and focus on bringing together early career researchers from the UK and Australia.</w:t>
      </w:r>
    </w:p>
    <w:p w14:paraId="7D10D0FD" w14:textId="77777777" w:rsidR="006F4CDF" w:rsidRPr="006F4CDF" w:rsidRDefault="006F4CDF" w:rsidP="006F4CDF">
      <w:pPr>
        <w:pStyle w:val="ListParagraph"/>
        <w:numPr>
          <w:ilvl w:val="0"/>
          <w:numId w:val="35"/>
        </w:numPr>
        <w:rPr>
          <w:rFonts w:eastAsia="Times New Roman"/>
          <w:lang w:eastAsia="en-GB"/>
        </w:rPr>
      </w:pPr>
      <w:r w:rsidRPr="000C1D1E">
        <w:t xml:space="preserve">Examples of events include (but are not limited to): </w:t>
      </w:r>
      <w:r w:rsidRPr="006F4CDF">
        <w:rPr>
          <w:rFonts w:eastAsia="Times New Roman"/>
          <w:lang w:eastAsia="en-GB"/>
        </w:rPr>
        <w:t>symposia; panel discussions; ‘TED’ – style talks; workshops; interactive installations; performances; exhibitions; innovative use of digital technologies and ICT, such as AR or VR.</w:t>
      </w:r>
    </w:p>
    <w:p w14:paraId="092E6536" w14:textId="77777777" w:rsidR="006F4CDF" w:rsidRPr="006F4CDF" w:rsidRDefault="006F4CDF" w:rsidP="006F4CDF">
      <w:pPr>
        <w:pStyle w:val="ListParagraph"/>
        <w:numPr>
          <w:ilvl w:val="0"/>
          <w:numId w:val="35"/>
        </w:numPr>
        <w:rPr>
          <w:rFonts w:eastAsia="Times New Roman"/>
          <w:lang w:eastAsia="en-GB"/>
        </w:rPr>
      </w:pPr>
      <w:r w:rsidRPr="006F4CDF">
        <w:rPr>
          <w:rFonts w:eastAsia="Times New Roman"/>
          <w:lang w:eastAsia="en-GB"/>
        </w:rPr>
        <w:t>Proposals must demonstrate excellence and innovation in research, thought leadership, community engagement or teaching and learning, or excellence and innovation in another aspect of HE activity not listed above.</w:t>
      </w:r>
    </w:p>
    <w:p w14:paraId="53ED804A" w14:textId="77777777" w:rsidR="006F4CDF" w:rsidRPr="006F4CDF" w:rsidRDefault="006F4CDF" w:rsidP="006F4CDF">
      <w:pPr>
        <w:pStyle w:val="ListParagraph"/>
        <w:numPr>
          <w:ilvl w:val="0"/>
          <w:numId w:val="35"/>
        </w:numPr>
        <w:rPr>
          <w:rFonts w:eastAsia="Times New Roman"/>
          <w:lang w:eastAsia="en-GB"/>
        </w:rPr>
      </w:pPr>
      <w:r w:rsidRPr="006F4CDF">
        <w:rPr>
          <w:rFonts w:eastAsia="Times New Roman"/>
          <w:lang w:eastAsia="en-GB"/>
        </w:rPr>
        <w:t>We welcome proposals from any academic discipline.</w:t>
      </w:r>
    </w:p>
    <w:p w14:paraId="595F6F26" w14:textId="77777777" w:rsidR="006F4CDF" w:rsidRPr="007605FA" w:rsidRDefault="006F4CDF" w:rsidP="006F4CDF">
      <w:pPr>
        <w:pStyle w:val="ListParagraph"/>
        <w:numPr>
          <w:ilvl w:val="0"/>
          <w:numId w:val="35"/>
        </w:numPr>
      </w:pPr>
      <w:r w:rsidRPr="006F4CDF">
        <w:rPr>
          <w:rFonts w:eastAsia="Times New Roman"/>
          <w:lang w:eastAsia="en-GB"/>
        </w:rPr>
        <w:t xml:space="preserve">We are interested to hear about joint projects which are interdisciplinary and/or which bring together the arts and sciences in an innovative way, and/or bring together participants from other sectors including the arts, government and industry. </w:t>
      </w:r>
    </w:p>
    <w:p w14:paraId="67F2545C" w14:textId="77777777" w:rsidR="00AD0726" w:rsidRPr="00AD0726" w:rsidRDefault="006F4CDF" w:rsidP="00AD0726">
      <w:pPr>
        <w:pStyle w:val="ListParagraph"/>
        <w:numPr>
          <w:ilvl w:val="0"/>
          <w:numId w:val="35"/>
        </w:numPr>
      </w:pPr>
      <w:r w:rsidRPr="006F4CDF">
        <w:rPr>
          <w:rFonts w:eastAsia="Times New Roman"/>
          <w:lang w:eastAsia="en-GB"/>
        </w:rPr>
        <w:lastRenderedPageBreak/>
        <w:t>We are particularly interested in ideas for events that focus on key areas of common interest such as epidemiology; space; climate and the environment; gender and economic empowerment; diversity and inclusion; and innovation.</w:t>
      </w:r>
    </w:p>
    <w:p w14:paraId="6E297E5F" w14:textId="7D1D4BD0" w:rsidR="00AD0726" w:rsidRPr="00AD0726" w:rsidRDefault="00AD0726" w:rsidP="00AD0726">
      <w:pPr>
        <w:pStyle w:val="ListParagraph"/>
        <w:numPr>
          <w:ilvl w:val="0"/>
          <w:numId w:val="35"/>
        </w:numPr>
      </w:pPr>
      <w:r w:rsidRPr="00AD0726">
        <w:rPr>
          <w:rFonts w:eastAsia="Times New Roman"/>
          <w:lang w:eastAsia="en-GB"/>
        </w:rPr>
        <w:t xml:space="preserve">Please also make us aware of any joint initiatives between UK and Australian HE institutions which are scheduled to be announced/signed during the Season period, such as bilateral agreements, </w:t>
      </w:r>
      <w:proofErr w:type="spellStart"/>
      <w:r w:rsidRPr="00AD0726">
        <w:rPr>
          <w:rFonts w:eastAsia="Times New Roman"/>
          <w:lang w:eastAsia="en-GB"/>
        </w:rPr>
        <w:t>MoUs</w:t>
      </w:r>
      <w:proofErr w:type="spellEnd"/>
      <w:r w:rsidRPr="00AD0726">
        <w:rPr>
          <w:rFonts w:eastAsia="Times New Roman"/>
          <w:lang w:eastAsia="en-GB"/>
        </w:rPr>
        <w:t xml:space="preserve"> or the publication of joint research findings. We would like to use the Season platform to celebrate and raise the profile of these.</w:t>
      </w:r>
    </w:p>
    <w:p w14:paraId="48E20483" w14:textId="77777777" w:rsidR="00AD0726" w:rsidRPr="00F55CB8" w:rsidRDefault="00AD0726" w:rsidP="00AD0726">
      <w:pPr>
        <w:pStyle w:val="ListParagraph"/>
        <w:numPr>
          <w:ilvl w:val="0"/>
          <w:numId w:val="35"/>
        </w:numPr>
        <w:rPr>
          <w:rFonts w:eastAsia="Times New Roman"/>
          <w:b/>
          <w:bCs/>
          <w:lang w:eastAsia="en-GB"/>
        </w:rPr>
      </w:pPr>
      <w:r>
        <w:t>Proposals can be</w:t>
      </w:r>
      <w:r w:rsidRPr="00EC3E9A">
        <w:t xml:space="preserve"> for</w:t>
      </w:r>
      <w:r>
        <w:t xml:space="preserve"> face-to-face or</w:t>
      </w:r>
      <w:r w:rsidRPr="00266D9C">
        <w:t xml:space="preserve"> digital </w:t>
      </w:r>
      <w:r>
        <w:t xml:space="preserve">and/or an innovative combination of the two. </w:t>
      </w:r>
      <w:r w:rsidRPr="00F55CB8">
        <w:rPr>
          <w:b/>
          <w:bCs/>
        </w:rPr>
        <w:t>However, it is important that all proposals have a contingency plan for how activity will be delivered digitally/remotely should the current Covid-19 crisis continue into the Season period.</w:t>
      </w:r>
      <w:r w:rsidRPr="00F55CB8">
        <w:rPr>
          <w:rFonts w:eastAsia="Times New Roman"/>
          <w:b/>
          <w:bCs/>
          <w:lang w:eastAsia="en-GB"/>
        </w:rPr>
        <w:t xml:space="preserve"> </w:t>
      </w:r>
    </w:p>
    <w:p w14:paraId="3BBF221E" w14:textId="10DF9E01" w:rsidR="005B0B25" w:rsidRPr="00010D14" w:rsidRDefault="00AD0726" w:rsidP="005B0B25">
      <w:pPr>
        <w:pStyle w:val="ListParagraph"/>
        <w:numPr>
          <w:ilvl w:val="0"/>
          <w:numId w:val="35"/>
        </w:numPr>
        <w:rPr>
          <w:rFonts w:eastAsia="Times New Roman"/>
          <w:lang w:eastAsia="en-GB"/>
        </w:rPr>
      </w:pPr>
      <w:r w:rsidRPr="006F4CDF">
        <w:rPr>
          <w:rFonts w:eastAsia="Times New Roman"/>
          <w:lang w:eastAsia="en-GB"/>
        </w:rPr>
        <w:t>All or part of the event/activity must be presented in Australia between 1 September 2021 to 13 March 2022.</w:t>
      </w:r>
    </w:p>
    <w:p w14:paraId="1D4FDF9B" w14:textId="6A8FF28D" w:rsidR="005B0B25" w:rsidRPr="005B0B25" w:rsidRDefault="005B0B25" w:rsidP="00010D14">
      <w:pPr>
        <w:pStyle w:val="HeadingB"/>
        <w:rPr>
          <w:lang w:eastAsia="en-GB"/>
        </w:rPr>
      </w:pPr>
      <w:r>
        <w:rPr>
          <w:lang w:eastAsia="en-GB"/>
        </w:rPr>
        <w:t>Seed Grant</w:t>
      </w:r>
    </w:p>
    <w:p w14:paraId="1D2E22E9" w14:textId="213C19B8" w:rsidR="00D92C1D" w:rsidRPr="007E06C7" w:rsidRDefault="00ED65EE" w:rsidP="00520FA3">
      <w:bookmarkStart w:id="0" w:name="_Hlk52821603"/>
      <w:bookmarkStart w:id="1" w:name="_GoBack"/>
      <w:r>
        <w:rPr>
          <w:rFonts w:eastAsia="Times New Roman"/>
          <w:lang w:eastAsia="en-GB"/>
        </w:rPr>
        <w:t>S</w:t>
      </w:r>
      <w:r w:rsidR="008278E2" w:rsidRPr="00520FA3">
        <w:rPr>
          <w:rFonts w:eastAsia="Times New Roman"/>
          <w:lang w:eastAsia="en-GB"/>
        </w:rPr>
        <w:t xml:space="preserve">mall </w:t>
      </w:r>
      <w:r w:rsidR="00DC21E0" w:rsidRPr="00520FA3">
        <w:rPr>
          <w:rFonts w:eastAsia="Times New Roman"/>
          <w:lang w:eastAsia="en-GB"/>
        </w:rPr>
        <w:t>one</w:t>
      </w:r>
      <w:r w:rsidR="00F20EB8" w:rsidRPr="00520FA3">
        <w:rPr>
          <w:rFonts w:eastAsia="Times New Roman"/>
          <w:lang w:eastAsia="en-GB"/>
        </w:rPr>
        <w:t>-</w:t>
      </w:r>
      <w:r w:rsidR="00DC21E0" w:rsidRPr="00520FA3">
        <w:rPr>
          <w:rFonts w:eastAsia="Times New Roman"/>
          <w:lang w:eastAsia="en-GB"/>
        </w:rPr>
        <w:t>year grant</w:t>
      </w:r>
      <w:r w:rsidR="00C839BC" w:rsidRPr="00520FA3">
        <w:rPr>
          <w:rFonts w:eastAsia="Times New Roman"/>
          <w:lang w:eastAsia="en-GB"/>
        </w:rPr>
        <w:t>s</w:t>
      </w:r>
      <w:r w:rsidR="00F20EB8" w:rsidRPr="00520FA3">
        <w:rPr>
          <w:rFonts w:eastAsia="Times New Roman"/>
          <w:lang w:eastAsia="en-GB"/>
        </w:rPr>
        <w:t xml:space="preserve"> </w:t>
      </w:r>
      <w:r>
        <w:rPr>
          <w:rFonts w:eastAsia="Times New Roman"/>
          <w:lang w:eastAsia="en-GB"/>
        </w:rPr>
        <w:t xml:space="preserve">will be </w:t>
      </w:r>
      <w:r w:rsidR="008278E2" w:rsidRPr="00520FA3">
        <w:rPr>
          <w:rFonts w:eastAsia="Times New Roman"/>
          <w:lang w:eastAsia="en-GB"/>
        </w:rPr>
        <w:t>available</w:t>
      </w:r>
      <w:r w:rsidR="00B86D5D" w:rsidRPr="00520FA3">
        <w:rPr>
          <w:rFonts w:eastAsia="Times New Roman"/>
          <w:lang w:eastAsia="en-GB"/>
        </w:rPr>
        <w:t xml:space="preserve"> to fund</w:t>
      </w:r>
      <w:r w:rsidR="00A451C6" w:rsidRPr="00520FA3">
        <w:rPr>
          <w:rFonts w:eastAsia="Times New Roman"/>
          <w:lang w:eastAsia="en-GB"/>
        </w:rPr>
        <w:t xml:space="preserve"> </w:t>
      </w:r>
      <w:r w:rsidR="00E126C8" w:rsidRPr="00520FA3">
        <w:rPr>
          <w:rFonts w:eastAsia="Times New Roman"/>
          <w:lang w:eastAsia="en-GB"/>
        </w:rPr>
        <w:t xml:space="preserve">joint </w:t>
      </w:r>
      <w:r w:rsidR="00A451C6" w:rsidRPr="00520FA3">
        <w:rPr>
          <w:rFonts w:eastAsia="Times New Roman"/>
          <w:lang w:eastAsia="en-GB"/>
        </w:rPr>
        <w:t>initiative</w:t>
      </w:r>
      <w:r w:rsidR="001E26A0" w:rsidRPr="00520FA3">
        <w:rPr>
          <w:rFonts w:eastAsia="Times New Roman"/>
          <w:lang w:eastAsia="en-GB"/>
        </w:rPr>
        <w:t>s</w:t>
      </w:r>
      <w:r w:rsidR="00A451C6" w:rsidRPr="00520FA3">
        <w:rPr>
          <w:rFonts w:eastAsia="Times New Roman"/>
          <w:lang w:eastAsia="en-GB"/>
        </w:rPr>
        <w:t>/event</w:t>
      </w:r>
      <w:r w:rsidR="001E26A0" w:rsidRPr="00520FA3">
        <w:rPr>
          <w:rFonts w:eastAsia="Times New Roman"/>
          <w:lang w:eastAsia="en-GB"/>
        </w:rPr>
        <w:t>s</w:t>
      </w:r>
      <w:r w:rsidR="004671BD" w:rsidRPr="00520FA3">
        <w:rPr>
          <w:rFonts w:eastAsia="Times New Roman"/>
          <w:lang w:eastAsia="en-GB"/>
        </w:rPr>
        <w:t xml:space="preserve"> </w:t>
      </w:r>
      <w:r w:rsidR="00BF0EB8" w:rsidRPr="00520FA3">
        <w:rPr>
          <w:rFonts w:eastAsia="Times New Roman"/>
          <w:lang w:eastAsia="en-GB"/>
        </w:rPr>
        <w:t>focused</w:t>
      </w:r>
      <w:r w:rsidR="00520FA3" w:rsidRPr="00520FA3">
        <w:rPr>
          <w:rFonts w:eastAsia="Times New Roman"/>
          <w:lang w:eastAsia="en-GB"/>
        </w:rPr>
        <w:t xml:space="preserve"> </w:t>
      </w:r>
      <w:r w:rsidR="00BF0EB8" w:rsidRPr="00520FA3">
        <w:rPr>
          <w:rFonts w:eastAsia="Times New Roman"/>
          <w:lang w:eastAsia="en-GB"/>
        </w:rPr>
        <w:t>on key climate and/or environmental challenges facing ODA countries</w:t>
      </w:r>
      <w:r w:rsidR="00BF0EB8" w:rsidRPr="007E06C7">
        <w:rPr>
          <w:rStyle w:val="FootnoteReference"/>
          <w:rFonts w:eastAsia="Times New Roman"/>
          <w:lang w:eastAsia="en-GB"/>
        </w:rPr>
        <w:footnoteReference w:id="1"/>
      </w:r>
      <w:r w:rsidR="00BF0EB8" w:rsidRPr="00520FA3">
        <w:rPr>
          <w:rFonts w:eastAsia="Times New Roman"/>
          <w:lang w:eastAsia="en-GB"/>
        </w:rPr>
        <w:t xml:space="preserve"> </w:t>
      </w:r>
      <w:r w:rsidR="004671BD" w:rsidRPr="00520FA3">
        <w:rPr>
          <w:rFonts w:eastAsia="Times New Roman"/>
          <w:lang w:eastAsia="en-GB"/>
        </w:rPr>
        <w:t xml:space="preserve">presented </w:t>
      </w:r>
      <w:r w:rsidR="001E26A0" w:rsidRPr="00520FA3">
        <w:rPr>
          <w:rFonts w:eastAsia="Times New Roman"/>
          <w:lang w:eastAsia="en-GB"/>
        </w:rPr>
        <w:t>by</w:t>
      </w:r>
      <w:r w:rsidR="008E1BE4" w:rsidRPr="00520FA3">
        <w:rPr>
          <w:rFonts w:eastAsia="Times New Roman"/>
          <w:lang w:eastAsia="en-GB"/>
        </w:rPr>
        <w:t xml:space="preserve"> UK and Australian universit</w:t>
      </w:r>
      <w:r w:rsidR="001E26A0" w:rsidRPr="00520FA3">
        <w:rPr>
          <w:rFonts w:eastAsia="Times New Roman"/>
          <w:lang w:eastAsia="en-GB"/>
        </w:rPr>
        <w:t xml:space="preserve">ies in partnership with </w:t>
      </w:r>
      <w:r w:rsidR="002409B0" w:rsidRPr="00520FA3">
        <w:rPr>
          <w:rFonts w:eastAsia="Times New Roman"/>
          <w:lang w:eastAsia="en-GB"/>
        </w:rPr>
        <w:t>universities from one or more ODA eligible countries</w:t>
      </w:r>
      <w:r w:rsidR="005D4A70" w:rsidRPr="00520FA3">
        <w:rPr>
          <w:rFonts w:eastAsia="Times New Roman"/>
          <w:lang w:eastAsia="en-GB"/>
        </w:rPr>
        <w:t xml:space="preserve">. </w:t>
      </w:r>
      <w:r w:rsidR="00F20EB8" w:rsidRPr="00F20EB8">
        <w:t xml:space="preserve">Funds available for each project will be in the range of </w:t>
      </w:r>
      <w:r w:rsidR="00FA3736">
        <w:t>GBP10,000</w:t>
      </w:r>
      <w:r w:rsidR="00F20EB8" w:rsidRPr="00F20EB8">
        <w:t xml:space="preserve"> to </w:t>
      </w:r>
      <w:r w:rsidR="00FA3736">
        <w:t>GBP</w:t>
      </w:r>
      <w:r w:rsidR="00F20EB8" w:rsidRPr="00F20EB8">
        <w:t>2</w:t>
      </w:r>
      <w:r w:rsidR="00FA3736">
        <w:t>5</w:t>
      </w:r>
      <w:r w:rsidR="00F20EB8" w:rsidRPr="00F20EB8">
        <w:t>,000</w:t>
      </w:r>
      <w:r w:rsidR="00F20EB8">
        <w:t>*</w:t>
      </w:r>
      <w:r w:rsidR="00FA3736">
        <w:t xml:space="preserve">. </w:t>
      </w:r>
      <w:r w:rsidR="005D4A70" w:rsidRPr="00520FA3">
        <w:rPr>
          <w:rFonts w:eastAsia="Times New Roman"/>
          <w:lang w:eastAsia="en-GB"/>
        </w:rPr>
        <w:t>Th</w:t>
      </w:r>
      <w:r w:rsidR="007F504F" w:rsidRPr="00520FA3">
        <w:rPr>
          <w:rFonts w:eastAsia="Times New Roman"/>
          <w:lang w:eastAsia="en-GB"/>
        </w:rPr>
        <w:t>e</w:t>
      </w:r>
      <w:r w:rsidR="005D4A70" w:rsidRPr="00520FA3">
        <w:rPr>
          <w:rFonts w:eastAsia="Times New Roman"/>
          <w:lang w:eastAsia="en-GB"/>
        </w:rPr>
        <w:t xml:space="preserve"> </w:t>
      </w:r>
      <w:r w:rsidR="0011724A" w:rsidRPr="00520FA3">
        <w:rPr>
          <w:rFonts w:eastAsia="Times New Roman"/>
          <w:lang w:eastAsia="en-GB"/>
        </w:rPr>
        <w:t xml:space="preserve">proposed activity </w:t>
      </w:r>
      <w:r w:rsidR="009110EE" w:rsidRPr="00520FA3">
        <w:rPr>
          <w:rFonts w:eastAsia="Times New Roman"/>
          <w:lang w:eastAsia="en-GB"/>
        </w:rPr>
        <w:t xml:space="preserve">must </w:t>
      </w:r>
      <w:r w:rsidR="0011724A" w:rsidRPr="00520FA3">
        <w:rPr>
          <w:rFonts w:eastAsia="Times New Roman"/>
          <w:lang w:eastAsia="en-GB"/>
        </w:rPr>
        <w:t xml:space="preserve">promote welfare </w:t>
      </w:r>
      <w:r w:rsidR="00C67B96" w:rsidRPr="00520FA3">
        <w:rPr>
          <w:rFonts w:eastAsia="Times New Roman"/>
          <w:lang w:eastAsia="en-GB"/>
        </w:rPr>
        <w:t xml:space="preserve">and economic development </w:t>
      </w:r>
      <w:r w:rsidR="0011724A" w:rsidRPr="00520FA3">
        <w:rPr>
          <w:rFonts w:eastAsia="Times New Roman"/>
          <w:lang w:eastAsia="en-GB"/>
        </w:rPr>
        <w:t xml:space="preserve">of </w:t>
      </w:r>
      <w:r w:rsidR="00880F1A" w:rsidRPr="00520FA3">
        <w:rPr>
          <w:rFonts w:eastAsia="Times New Roman"/>
          <w:lang w:eastAsia="en-GB"/>
        </w:rPr>
        <w:t xml:space="preserve">ODA </w:t>
      </w:r>
      <w:r w:rsidR="0011724A" w:rsidRPr="00520FA3">
        <w:rPr>
          <w:rFonts w:eastAsia="Times New Roman"/>
          <w:lang w:eastAsia="en-GB"/>
        </w:rPr>
        <w:t xml:space="preserve">countries </w:t>
      </w:r>
      <w:r w:rsidR="00C67B96" w:rsidRPr="00520FA3">
        <w:rPr>
          <w:rFonts w:eastAsia="Times New Roman"/>
          <w:lang w:eastAsia="en-GB"/>
        </w:rPr>
        <w:t xml:space="preserve">and be aligned to </w:t>
      </w:r>
      <w:r w:rsidR="00DF31A9" w:rsidRPr="00520FA3">
        <w:rPr>
          <w:rFonts w:eastAsia="Times New Roman"/>
          <w:lang w:eastAsia="en-GB"/>
        </w:rPr>
        <w:t xml:space="preserve">Sustainable Development Goal </w:t>
      </w:r>
      <w:r w:rsidR="00C67B96" w:rsidRPr="00520FA3">
        <w:rPr>
          <w:rFonts w:eastAsia="Times New Roman"/>
          <w:lang w:eastAsia="en-GB"/>
        </w:rPr>
        <w:t>13</w:t>
      </w:r>
      <w:r w:rsidR="00DF31A9" w:rsidRPr="00520FA3">
        <w:rPr>
          <w:rFonts w:eastAsia="Times New Roman"/>
          <w:lang w:eastAsia="en-GB"/>
        </w:rPr>
        <w:t xml:space="preserve"> and other related SDGs</w:t>
      </w:r>
      <w:r w:rsidR="00DF31A9" w:rsidRPr="007E06C7">
        <w:rPr>
          <w:rStyle w:val="FootnoteReference"/>
          <w:rFonts w:eastAsia="Times New Roman"/>
          <w:lang w:eastAsia="en-GB"/>
        </w:rPr>
        <w:footnoteReference w:id="2"/>
      </w:r>
      <w:r w:rsidR="000274A1" w:rsidRPr="00520FA3">
        <w:rPr>
          <w:rFonts w:eastAsia="Times New Roman"/>
          <w:lang w:eastAsia="en-GB"/>
        </w:rPr>
        <w:t xml:space="preserve">. The </w:t>
      </w:r>
      <w:r w:rsidR="005D4A70" w:rsidRPr="00520FA3">
        <w:rPr>
          <w:rFonts w:eastAsia="Times New Roman"/>
          <w:lang w:eastAsia="en-GB"/>
        </w:rPr>
        <w:t>event/initiat</w:t>
      </w:r>
      <w:r w:rsidR="00E126C8" w:rsidRPr="00520FA3">
        <w:rPr>
          <w:rFonts w:eastAsia="Times New Roman"/>
          <w:lang w:eastAsia="en-GB"/>
        </w:rPr>
        <w:t>i</w:t>
      </w:r>
      <w:r w:rsidR="005D4A70" w:rsidRPr="00520FA3">
        <w:rPr>
          <w:rFonts w:eastAsia="Times New Roman"/>
          <w:lang w:eastAsia="en-GB"/>
        </w:rPr>
        <w:t>ve need</w:t>
      </w:r>
      <w:r w:rsidR="00D253B7" w:rsidRPr="00520FA3">
        <w:rPr>
          <w:rFonts w:eastAsia="Times New Roman"/>
          <w:lang w:eastAsia="en-GB"/>
        </w:rPr>
        <w:t>s to</w:t>
      </w:r>
      <w:r w:rsidR="00E126C8" w:rsidRPr="00520FA3">
        <w:rPr>
          <w:rFonts w:eastAsia="Times New Roman"/>
          <w:lang w:eastAsia="en-GB"/>
        </w:rPr>
        <w:t xml:space="preserve"> have a high level of involvement of ECRs and</w:t>
      </w:r>
      <w:r w:rsidR="00D253B7" w:rsidRPr="00520FA3">
        <w:rPr>
          <w:rFonts w:eastAsia="Times New Roman"/>
          <w:lang w:eastAsia="en-GB"/>
        </w:rPr>
        <w:t xml:space="preserve"> be designed so that it has two distinct </w:t>
      </w:r>
      <w:r w:rsidR="00357A34" w:rsidRPr="00520FA3">
        <w:rPr>
          <w:rFonts w:eastAsia="Times New Roman"/>
          <w:lang w:eastAsia="en-GB"/>
        </w:rPr>
        <w:t>part</w:t>
      </w:r>
      <w:r w:rsidR="00D253B7" w:rsidRPr="00520FA3">
        <w:rPr>
          <w:rFonts w:eastAsia="Times New Roman"/>
          <w:lang w:eastAsia="en-GB"/>
        </w:rPr>
        <w:t>s</w:t>
      </w:r>
      <w:r w:rsidR="00476289" w:rsidRPr="00520FA3">
        <w:rPr>
          <w:rFonts w:eastAsia="Times New Roman"/>
          <w:lang w:eastAsia="en-GB"/>
        </w:rPr>
        <w:t xml:space="preserve"> (which can be delivered in either order)</w:t>
      </w:r>
      <w:r w:rsidR="00D253B7" w:rsidRPr="00520FA3">
        <w:rPr>
          <w:rFonts w:eastAsia="Times New Roman"/>
          <w:lang w:eastAsia="en-GB"/>
        </w:rPr>
        <w:t>:</w:t>
      </w:r>
    </w:p>
    <w:p w14:paraId="7F487107" w14:textId="701086FE" w:rsidR="00D92C1D" w:rsidRPr="007E06C7" w:rsidRDefault="00D253B7" w:rsidP="005A152F">
      <w:pPr>
        <w:pStyle w:val="ListParagraph"/>
        <w:numPr>
          <w:ilvl w:val="0"/>
          <w:numId w:val="0"/>
        </w:numPr>
        <w:ind w:left="1440"/>
        <w:rPr>
          <w:rFonts w:eastAsia="Times New Roman"/>
          <w:lang w:eastAsia="en-GB"/>
        </w:rPr>
      </w:pPr>
      <w:r w:rsidRPr="007E06C7">
        <w:rPr>
          <w:rFonts w:eastAsia="Times New Roman"/>
          <w:lang w:eastAsia="en-GB"/>
        </w:rPr>
        <w:t xml:space="preserve">1) </w:t>
      </w:r>
      <w:r w:rsidR="008E1BE4" w:rsidRPr="007E06C7">
        <w:rPr>
          <w:rFonts w:eastAsia="Times New Roman"/>
          <w:lang w:eastAsia="en-GB"/>
        </w:rPr>
        <w:t>a component</w:t>
      </w:r>
      <w:r w:rsidR="00BE4763" w:rsidRPr="007E06C7">
        <w:rPr>
          <w:rFonts w:eastAsia="Times New Roman"/>
          <w:lang w:eastAsia="en-GB"/>
        </w:rPr>
        <w:t xml:space="preserve"> which can feature as a</w:t>
      </w:r>
      <w:r w:rsidR="00E90713" w:rsidRPr="007E06C7">
        <w:rPr>
          <w:rFonts w:eastAsia="Times New Roman"/>
          <w:lang w:eastAsia="en-GB"/>
        </w:rPr>
        <w:t xml:space="preserve"> core part of the UK/Australia Season</w:t>
      </w:r>
      <w:r w:rsidR="00357A34" w:rsidRPr="007E06C7">
        <w:rPr>
          <w:rFonts w:eastAsia="Times New Roman"/>
          <w:lang w:eastAsia="en-GB"/>
        </w:rPr>
        <w:t xml:space="preserve">, which </w:t>
      </w:r>
      <w:r w:rsidR="00E24F29" w:rsidRPr="007E06C7">
        <w:rPr>
          <w:rFonts w:eastAsia="Times New Roman"/>
          <w:lang w:eastAsia="en-GB"/>
        </w:rPr>
        <w:t xml:space="preserve">can be </w:t>
      </w:r>
      <w:r w:rsidR="00357A34" w:rsidRPr="007E06C7">
        <w:rPr>
          <w:rFonts w:eastAsia="Times New Roman"/>
          <w:lang w:eastAsia="en-GB"/>
        </w:rPr>
        <w:t>delivered</w:t>
      </w:r>
      <w:r w:rsidR="005A152F" w:rsidRPr="007E06C7">
        <w:rPr>
          <w:rFonts w:eastAsia="Times New Roman"/>
          <w:lang w:eastAsia="en-GB"/>
        </w:rPr>
        <w:t xml:space="preserve"> in Australia or online</w:t>
      </w:r>
      <w:r w:rsidR="00357A34" w:rsidRPr="007E06C7">
        <w:rPr>
          <w:rFonts w:eastAsia="Times New Roman"/>
          <w:lang w:eastAsia="en-GB"/>
        </w:rPr>
        <w:t xml:space="preserve"> between September 2021 and March 2022</w:t>
      </w:r>
      <w:r w:rsidR="0072155A" w:rsidRPr="007E06C7">
        <w:rPr>
          <w:rFonts w:eastAsia="Times New Roman"/>
          <w:lang w:eastAsia="en-GB"/>
        </w:rPr>
        <w:t xml:space="preserve">. </w:t>
      </w:r>
    </w:p>
    <w:p w14:paraId="0B6AB695" w14:textId="013707DB" w:rsidR="00EF02C8" w:rsidRPr="007E06C7" w:rsidRDefault="00D92C1D" w:rsidP="005A152F">
      <w:pPr>
        <w:pStyle w:val="ListParagraph"/>
        <w:numPr>
          <w:ilvl w:val="0"/>
          <w:numId w:val="0"/>
        </w:numPr>
        <w:ind w:left="1440"/>
        <w:rPr>
          <w:rFonts w:eastAsia="Times New Roman"/>
          <w:lang w:eastAsia="en-GB"/>
        </w:rPr>
      </w:pPr>
      <w:r w:rsidRPr="007E06C7">
        <w:rPr>
          <w:rFonts w:eastAsia="Times New Roman"/>
          <w:lang w:eastAsia="en-GB"/>
        </w:rPr>
        <w:t xml:space="preserve">2) </w:t>
      </w:r>
      <w:r w:rsidR="00B613A8" w:rsidRPr="007E06C7">
        <w:rPr>
          <w:rFonts w:eastAsia="Times New Roman"/>
          <w:lang w:eastAsia="en-GB"/>
        </w:rPr>
        <w:t>a</w:t>
      </w:r>
      <w:r w:rsidR="00EF02C8" w:rsidRPr="007E06C7">
        <w:rPr>
          <w:rFonts w:eastAsia="Times New Roman"/>
          <w:lang w:eastAsia="en-GB"/>
        </w:rPr>
        <w:t xml:space="preserve"> component</w:t>
      </w:r>
      <w:r w:rsidR="002905BA" w:rsidRPr="007E06C7">
        <w:rPr>
          <w:rFonts w:eastAsia="Times New Roman"/>
          <w:lang w:eastAsia="en-GB"/>
        </w:rPr>
        <w:t xml:space="preserve"> </w:t>
      </w:r>
      <w:r w:rsidR="003A3ADE" w:rsidRPr="007E06C7">
        <w:rPr>
          <w:rFonts w:eastAsia="Times New Roman"/>
          <w:lang w:eastAsia="en-GB"/>
        </w:rPr>
        <w:t xml:space="preserve">which </w:t>
      </w:r>
      <w:r w:rsidR="002905BA" w:rsidRPr="007E06C7">
        <w:rPr>
          <w:rFonts w:eastAsia="Times New Roman"/>
          <w:lang w:eastAsia="en-GB"/>
        </w:rPr>
        <w:t>can</w:t>
      </w:r>
      <w:r w:rsidR="005A1771" w:rsidRPr="007E06C7">
        <w:rPr>
          <w:rFonts w:eastAsia="Times New Roman"/>
          <w:lang w:eastAsia="en-GB"/>
        </w:rPr>
        <w:t xml:space="preserve"> </w:t>
      </w:r>
      <w:r w:rsidR="00BB1379" w:rsidRPr="007E06C7">
        <w:rPr>
          <w:rFonts w:eastAsia="Times New Roman"/>
          <w:lang w:eastAsia="en-GB"/>
        </w:rPr>
        <w:t xml:space="preserve">be delivered </w:t>
      </w:r>
      <w:r w:rsidR="007F5020" w:rsidRPr="007E06C7">
        <w:rPr>
          <w:rFonts w:eastAsia="Times New Roman"/>
          <w:lang w:eastAsia="en-GB"/>
        </w:rPr>
        <w:t>or feature</w:t>
      </w:r>
      <w:r w:rsidR="00C409F3" w:rsidRPr="007E06C7">
        <w:rPr>
          <w:rFonts w:eastAsia="Times New Roman"/>
          <w:lang w:eastAsia="en-GB"/>
        </w:rPr>
        <w:t>d</w:t>
      </w:r>
      <w:r w:rsidR="007F5020" w:rsidRPr="007E06C7">
        <w:rPr>
          <w:rFonts w:eastAsia="Times New Roman"/>
          <w:lang w:eastAsia="en-GB"/>
        </w:rPr>
        <w:t xml:space="preserve"> at COP26 in Glasgow in November 2021</w:t>
      </w:r>
      <w:r w:rsidR="00EF02C8" w:rsidRPr="007E06C7">
        <w:rPr>
          <w:rFonts w:eastAsia="Times New Roman"/>
          <w:lang w:eastAsia="en-GB"/>
        </w:rPr>
        <w:t>.</w:t>
      </w:r>
    </w:p>
    <w:bookmarkEnd w:id="0"/>
    <w:bookmarkEnd w:id="1"/>
    <w:p w14:paraId="296CF8D4" w14:textId="595A3065" w:rsidR="00C26590" w:rsidRPr="00010D14" w:rsidRDefault="00F20EB8" w:rsidP="00AD0726">
      <w:pPr>
        <w:jc w:val="both"/>
        <w:rPr>
          <w:rFonts w:eastAsia="Times New Roman"/>
          <w:sz w:val="20"/>
          <w:szCs w:val="20"/>
          <w:lang w:eastAsia="en-GB"/>
        </w:rPr>
      </w:pPr>
      <w:r w:rsidRPr="00010D14">
        <w:rPr>
          <w:rFonts w:eastAsia="Times New Roman"/>
          <w:sz w:val="20"/>
          <w:szCs w:val="20"/>
          <w:lang w:eastAsia="en-GB"/>
        </w:rPr>
        <w:t xml:space="preserve">*More information about the grants will be published alongside </w:t>
      </w:r>
      <w:r w:rsidR="00010D14" w:rsidRPr="00010D14">
        <w:rPr>
          <w:rFonts w:eastAsia="Times New Roman"/>
          <w:sz w:val="20"/>
          <w:szCs w:val="20"/>
          <w:lang w:eastAsia="en-GB"/>
        </w:rPr>
        <w:t xml:space="preserve">eligibility criteria and </w:t>
      </w:r>
      <w:r w:rsidRPr="00010D14">
        <w:rPr>
          <w:rFonts w:eastAsia="Times New Roman"/>
          <w:sz w:val="20"/>
          <w:szCs w:val="20"/>
          <w:lang w:eastAsia="en-GB"/>
        </w:rPr>
        <w:t>T&amp;Cs w/c 5</w:t>
      </w:r>
      <w:r w:rsidRPr="00010D14">
        <w:rPr>
          <w:rFonts w:eastAsia="Times New Roman"/>
          <w:sz w:val="20"/>
          <w:szCs w:val="20"/>
          <w:vertAlign w:val="superscript"/>
          <w:lang w:eastAsia="en-GB"/>
        </w:rPr>
        <w:t xml:space="preserve"> </w:t>
      </w:r>
      <w:r w:rsidRPr="00010D14">
        <w:rPr>
          <w:rFonts w:eastAsia="Times New Roman"/>
          <w:sz w:val="20"/>
          <w:szCs w:val="20"/>
          <w:lang w:eastAsia="en-GB"/>
        </w:rPr>
        <w:t>October 2020.</w:t>
      </w:r>
      <w:r w:rsidR="001A6E26" w:rsidRPr="00010D14">
        <w:rPr>
          <w:rFonts w:eastAsia="Times New Roman"/>
          <w:sz w:val="20"/>
          <w:szCs w:val="20"/>
          <w:lang w:eastAsia="en-GB"/>
        </w:rPr>
        <w:t xml:space="preserve"> </w:t>
      </w:r>
      <w:r w:rsidR="00EF02C8" w:rsidRPr="00010D14">
        <w:rPr>
          <w:rFonts w:eastAsia="Times New Roman"/>
          <w:sz w:val="20"/>
          <w:szCs w:val="20"/>
          <w:lang w:eastAsia="en-GB"/>
        </w:rPr>
        <w:t>The outputs and impact of this init</w:t>
      </w:r>
      <w:r w:rsidR="007344D1" w:rsidRPr="00010D14">
        <w:rPr>
          <w:rFonts w:eastAsia="Times New Roman"/>
          <w:sz w:val="20"/>
          <w:szCs w:val="20"/>
          <w:lang w:eastAsia="en-GB"/>
        </w:rPr>
        <w:t>i</w:t>
      </w:r>
      <w:r w:rsidR="00EF02C8" w:rsidRPr="00010D14">
        <w:rPr>
          <w:rFonts w:eastAsia="Times New Roman"/>
          <w:sz w:val="20"/>
          <w:szCs w:val="20"/>
          <w:lang w:eastAsia="en-GB"/>
        </w:rPr>
        <w:t xml:space="preserve">ative </w:t>
      </w:r>
      <w:r w:rsidR="008757C6" w:rsidRPr="00010D14">
        <w:rPr>
          <w:rFonts w:eastAsia="Times New Roman"/>
          <w:sz w:val="20"/>
          <w:szCs w:val="20"/>
          <w:lang w:eastAsia="en-GB"/>
        </w:rPr>
        <w:t>must</w:t>
      </w:r>
      <w:r w:rsidR="00EF02C8" w:rsidRPr="00010D14">
        <w:rPr>
          <w:rFonts w:eastAsia="Times New Roman"/>
          <w:sz w:val="20"/>
          <w:szCs w:val="20"/>
          <w:lang w:eastAsia="en-GB"/>
        </w:rPr>
        <w:t xml:space="preserve"> be </w:t>
      </w:r>
      <w:r w:rsidR="007344D1" w:rsidRPr="00010D14">
        <w:rPr>
          <w:rFonts w:eastAsia="Times New Roman"/>
          <w:sz w:val="20"/>
          <w:szCs w:val="20"/>
          <w:lang w:eastAsia="en-GB"/>
        </w:rPr>
        <w:t>delivered in</w:t>
      </w:r>
      <w:r w:rsidR="008609B9" w:rsidRPr="00010D14">
        <w:rPr>
          <w:rFonts w:eastAsia="Times New Roman"/>
          <w:sz w:val="20"/>
          <w:szCs w:val="20"/>
          <w:lang w:eastAsia="en-GB"/>
        </w:rPr>
        <w:t xml:space="preserve"> ODA countries to qualify for the funding</w:t>
      </w:r>
      <w:r w:rsidR="007B1067" w:rsidRPr="00010D14">
        <w:rPr>
          <w:rFonts w:eastAsia="Times New Roman"/>
          <w:sz w:val="20"/>
          <w:szCs w:val="20"/>
          <w:lang w:eastAsia="en-GB"/>
        </w:rPr>
        <w:t>.</w:t>
      </w:r>
      <w:r w:rsidR="00326217" w:rsidRPr="00010D14">
        <w:rPr>
          <w:rFonts w:eastAsia="Times New Roman"/>
          <w:sz w:val="20"/>
          <w:szCs w:val="20"/>
          <w:lang w:eastAsia="en-GB"/>
        </w:rPr>
        <w:t xml:space="preserve"> </w:t>
      </w:r>
      <w:r w:rsidR="00583393" w:rsidRPr="00010D14">
        <w:rPr>
          <w:rFonts w:eastAsia="Times New Roman"/>
          <w:sz w:val="20"/>
          <w:szCs w:val="20"/>
          <w:lang w:eastAsia="en-GB"/>
        </w:rPr>
        <w:t>Contracts will be issued to successful grantees in</w:t>
      </w:r>
      <w:r w:rsidR="00897F03" w:rsidRPr="00010D14">
        <w:rPr>
          <w:rFonts w:eastAsia="Times New Roman"/>
          <w:sz w:val="20"/>
          <w:szCs w:val="20"/>
          <w:lang w:eastAsia="en-GB"/>
        </w:rPr>
        <w:t xml:space="preserve"> December 2020/Jan 2021</w:t>
      </w:r>
      <w:r w:rsidRPr="00010D14">
        <w:rPr>
          <w:rFonts w:eastAsia="Times New Roman"/>
          <w:sz w:val="20"/>
          <w:szCs w:val="20"/>
          <w:lang w:eastAsia="en-GB"/>
        </w:rPr>
        <w:t xml:space="preserve">. </w:t>
      </w:r>
    </w:p>
    <w:p w14:paraId="552A56CF" w14:textId="77777777" w:rsidR="006F4CDF" w:rsidRPr="00140F32" w:rsidRDefault="006F4CDF" w:rsidP="006F4CDF">
      <w:pPr>
        <w:pStyle w:val="HeadingB"/>
      </w:pPr>
      <w:r>
        <w:t>Partnership model</w:t>
      </w:r>
    </w:p>
    <w:p w14:paraId="35FF108C" w14:textId="77777777" w:rsidR="00B10E39" w:rsidRDefault="006F4CDF" w:rsidP="006F4CDF">
      <w:r>
        <w:t>The British Council will provide a platform for HE institutions to participate in the UK/Australia Season which will include the use of the UK/Australia Season brand</w:t>
      </w:r>
      <w:r w:rsidR="00F55CB8" w:rsidRPr="00F55CB8">
        <w:t xml:space="preserve"> </w:t>
      </w:r>
      <w:r w:rsidR="00F55CB8">
        <w:t>and some limited PR and marketing support</w:t>
      </w:r>
      <w:r>
        <w:t xml:space="preserve">. Universities will benefit from the Season’s high international profile and critical mass of cross-sector programming, as well as opportunities to tap into the British Council’s extensive networks. </w:t>
      </w:r>
    </w:p>
    <w:p w14:paraId="545127FA" w14:textId="0B0C98EB" w:rsidR="006F4CDF" w:rsidRDefault="007D1B87" w:rsidP="006F4CDF">
      <w:proofErr w:type="gramStart"/>
      <w:r>
        <w:lastRenderedPageBreak/>
        <w:t>With the exception of</w:t>
      </w:r>
      <w:proofErr w:type="gramEnd"/>
      <w:r>
        <w:t xml:space="preserve"> the </w:t>
      </w:r>
      <w:r w:rsidR="00031D61">
        <w:t>seed grants, n</w:t>
      </w:r>
      <w:r w:rsidR="006F4CDF">
        <w:t>o financial support will be available from the British Council for university partners. It will be up to the university partners to decide how much they wish to invest in presenting an event and these investments will not be channe</w:t>
      </w:r>
      <w:r w:rsidR="00B10E39">
        <w:t>l</w:t>
      </w:r>
      <w:r w:rsidR="006F4CDF">
        <w:t xml:space="preserve">led through the British Council’s financial structures. We will expect participating university partners to appoint a ‘champion’ who will </w:t>
      </w:r>
      <w:r w:rsidR="00B10E39">
        <w:t>oversee</w:t>
      </w:r>
      <w:r w:rsidR="006F4CDF">
        <w:t xml:space="preserve"> the development and delivery of the event.</w:t>
      </w:r>
    </w:p>
    <w:p w14:paraId="4877876C" w14:textId="77777777" w:rsidR="006F4CDF" w:rsidRPr="006F4CDF" w:rsidRDefault="006F4CDF" w:rsidP="007E4D04">
      <w:pPr>
        <w:pStyle w:val="CoverTitle"/>
        <w:rPr>
          <w:sz w:val="52"/>
        </w:rPr>
      </w:pPr>
    </w:p>
    <w:sectPr w:rsidR="006F4CDF" w:rsidRPr="006F4CDF" w:rsidSect="000E486C">
      <w:headerReference w:type="default" r:id="rId11"/>
      <w:headerReference w:type="first" r:id="rId12"/>
      <w:footerReference w:type="first" r:id="rId13"/>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15D8C" w14:textId="77777777" w:rsidR="0017399B" w:rsidRDefault="0017399B" w:rsidP="004E0F0F">
      <w:pPr>
        <w:spacing w:after="0" w:line="240" w:lineRule="auto"/>
      </w:pPr>
      <w:r>
        <w:separator/>
      </w:r>
    </w:p>
  </w:endnote>
  <w:endnote w:type="continuationSeparator" w:id="0">
    <w:p w14:paraId="5A403795" w14:textId="77777777" w:rsidR="0017399B" w:rsidRDefault="0017399B"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185FC" w14:textId="77777777" w:rsidR="003855BB" w:rsidRPr="003855BB" w:rsidRDefault="003855BB"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1CEFD" w14:textId="77777777" w:rsidR="0017399B" w:rsidRDefault="0017399B" w:rsidP="004E0F0F">
      <w:pPr>
        <w:spacing w:after="0" w:line="240" w:lineRule="auto"/>
      </w:pPr>
      <w:r>
        <w:separator/>
      </w:r>
    </w:p>
  </w:footnote>
  <w:footnote w:type="continuationSeparator" w:id="0">
    <w:p w14:paraId="1B7B55DD" w14:textId="77777777" w:rsidR="0017399B" w:rsidRDefault="0017399B" w:rsidP="004E0F0F">
      <w:pPr>
        <w:spacing w:after="0" w:line="240" w:lineRule="auto"/>
      </w:pPr>
      <w:r>
        <w:continuationSeparator/>
      </w:r>
    </w:p>
  </w:footnote>
  <w:footnote w:id="1">
    <w:p w14:paraId="6539D7BD" w14:textId="77777777" w:rsidR="00BF0EB8" w:rsidRPr="000566C1" w:rsidRDefault="00BF0EB8" w:rsidP="00BF0EB8">
      <w:pPr>
        <w:pStyle w:val="FootnoteText"/>
        <w:rPr>
          <w:lang w:val="en-US"/>
        </w:rPr>
      </w:pPr>
      <w:r>
        <w:rPr>
          <w:rStyle w:val="FootnoteReference"/>
        </w:rPr>
        <w:footnoteRef/>
      </w:r>
      <w:r>
        <w:t xml:space="preserve"> See for list of ODA eligible nations: </w:t>
      </w:r>
      <w:r w:rsidRPr="00AB0658">
        <w:t>http://www.oecd.org/dac/financing-sustainable-development/development-finance-standards/DAC-List-of-ODA-Recipients-for-reporting-2020-flows.pdf</w:t>
      </w:r>
    </w:p>
  </w:footnote>
  <w:footnote w:id="2">
    <w:p w14:paraId="5770469B" w14:textId="32699EA4" w:rsidR="00DF31A9" w:rsidRPr="00DF31A9" w:rsidRDefault="00DF31A9">
      <w:pPr>
        <w:pStyle w:val="FootnoteText"/>
        <w:rPr>
          <w:lang w:val="en-US"/>
        </w:rPr>
      </w:pPr>
      <w:r>
        <w:rPr>
          <w:rStyle w:val="FootnoteReference"/>
        </w:rPr>
        <w:footnoteRef/>
      </w:r>
      <w:r w:rsidR="005E4A52">
        <w:t>UN’s Sustainable Development Goals:</w:t>
      </w:r>
      <w:r>
        <w:t xml:space="preserve"> </w:t>
      </w:r>
      <w:r w:rsidR="005E4A52" w:rsidRPr="005E4A52">
        <w:t>https://sdgs.un.org/goals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38097"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1E2A32A3" wp14:editId="53E54931">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A1E58F1"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" strokecolor="#5deb4b [3209]"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142E2" w14:textId="77777777" w:rsidR="003855BB" w:rsidRDefault="003855BB">
    <w:pPr>
      <w:pStyle w:val="Header"/>
    </w:pPr>
    <w:r>
      <w:rPr>
        <w:noProof/>
        <w:lang w:val="en-US"/>
      </w:rPr>
      <w:drawing>
        <wp:anchor distT="0" distB="424815" distL="114300" distR="114300" simplePos="0" relativeHeight="251670528" behindDoc="0" locked="0" layoutInCell="1" allowOverlap="1" wp14:anchorId="1E35BC90" wp14:editId="0E8F9909">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78B3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3C06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668F9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A7E51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4684A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E67C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8AEF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B5417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8987A8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36C8B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F77CDB"/>
    <w:multiLevelType w:val="hybridMultilevel"/>
    <w:tmpl w:val="54C68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B4577C2"/>
    <w:multiLevelType w:val="hybridMultilevel"/>
    <w:tmpl w:val="4D32C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D20D57"/>
    <w:multiLevelType w:val="hybridMultilevel"/>
    <w:tmpl w:val="17683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5BC4541"/>
    <w:multiLevelType w:val="hybridMultilevel"/>
    <w:tmpl w:val="3ACE7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C2653A"/>
    <w:multiLevelType w:val="hybridMultilevel"/>
    <w:tmpl w:val="609CC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FB1A2B"/>
    <w:multiLevelType w:val="hybridMultilevel"/>
    <w:tmpl w:val="37922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813D01"/>
    <w:multiLevelType w:val="hybridMultilevel"/>
    <w:tmpl w:val="10225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AE63A2"/>
    <w:multiLevelType w:val="hybridMultilevel"/>
    <w:tmpl w:val="FD2AE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D45ED0"/>
    <w:multiLevelType w:val="hybridMultilevel"/>
    <w:tmpl w:val="5A24A980"/>
    <w:lvl w:ilvl="0" w:tplc="023C021E">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2" w15:restartNumberingAfterBreak="0">
    <w:nsid w:val="57FF1165"/>
    <w:multiLevelType w:val="hybridMultilevel"/>
    <w:tmpl w:val="EFE85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24132F"/>
    <w:multiLevelType w:val="hybridMultilevel"/>
    <w:tmpl w:val="10003446"/>
    <w:lvl w:ilvl="0" w:tplc="A87E6A96">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7B4227F"/>
    <w:multiLevelType w:val="hybridMultilevel"/>
    <w:tmpl w:val="1136B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8A0F9D"/>
    <w:multiLevelType w:val="hybridMultilevel"/>
    <w:tmpl w:val="DCEAB1D8"/>
    <w:lvl w:ilvl="0" w:tplc="3496BCD0">
      <w:start w:val="1"/>
      <w:numFmt w:val="bullet"/>
      <w:pStyle w:val="SubBullets"/>
      <w:lvlText w:val=""/>
      <w:lvlJc w:val="left"/>
      <w:pPr>
        <w:ind w:left="644" w:hanging="360"/>
      </w:pPr>
      <w:rPr>
        <w:rFonts w:ascii="Symbol" w:hAnsi="Symbol" w:hint="default"/>
        <w:color w:val="5DEB4B"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321D7C"/>
    <w:multiLevelType w:val="hybridMultilevel"/>
    <w:tmpl w:val="4792421A"/>
    <w:lvl w:ilvl="0" w:tplc="62780D70">
      <w:start w:val="1"/>
      <w:numFmt w:val="bullet"/>
      <w:pStyle w:val="Bullets"/>
      <w:lvlText w:val=""/>
      <w:lvlJc w:val="left"/>
      <w:pPr>
        <w:ind w:left="360" w:hanging="360"/>
      </w:pPr>
      <w:rPr>
        <w:rFonts w:ascii="Symbol" w:hAnsi="Symbol" w:hint="default"/>
        <w:color w:val="5DEB4B"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A70E4E"/>
    <w:multiLevelType w:val="hybridMultilevel"/>
    <w:tmpl w:val="4EA6C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1C3CB1"/>
    <w:multiLevelType w:val="hybridMultilevel"/>
    <w:tmpl w:val="244E0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120966"/>
    <w:multiLevelType w:val="hybridMultilevel"/>
    <w:tmpl w:val="ADAAC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12"/>
  </w:num>
  <w:num w:numId="4">
    <w:abstractNumId w:val="26"/>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26"/>
  </w:num>
  <w:num w:numId="17">
    <w:abstractNumId w:val="25"/>
  </w:num>
  <w:num w:numId="18">
    <w:abstractNumId w:val="26"/>
  </w:num>
  <w:num w:numId="19">
    <w:abstractNumId w:val="25"/>
  </w:num>
  <w:num w:numId="20">
    <w:abstractNumId w:val="26"/>
  </w:num>
  <w:num w:numId="21">
    <w:abstractNumId w:val="25"/>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5"/>
  </w:num>
  <w:num w:numId="25">
    <w:abstractNumId w:val="21"/>
  </w:num>
  <w:num w:numId="26">
    <w:abstractNumId w:val="19"/>
  </w:num>
  <w:num w:numId="27">
    <w:abstractNumId w:val="17"/>
  </w:num>
  <w:num w:numId="28">
    <w:abstractNumId w:val="28"/>
  </w:num>
  <w:num w:numId="29">
    <w:abstractNumId w:val="20"/>
  </w:num>
  <w:num w:numId="30">
    <w:abstractNumId w:val="14"/>
  </w:num>
  <w:num w:numId="31">
    <w:abstractNumId w:val="13"/>
  </w:num>
  <w:num w:numId="32">
    <w:abstractNumId w:val="27"/>
  </w:num>
  <w:num w:numId="33">
    <w:abstractNumId w:val="11"/>
  </w:num>
  <w:num w:numId="34">
    <w:abstractNumId w:val="18"/>
  </w:num>
  <w:num w:numId="35">
    <w:abstractNumId w:val="29"/>
  </w:num>
  <w:num w:numId="36">
    <w:abstractNumId w:val="24"/>
  </w:num>
  <w:num w:numId="37">
    <w:abstractNumId w:val="15"/>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DF"/>
    <w:rsid w:val="00010D14"/>
    <w:rsid w:val="000171EB"/>
    <w:rsid w:val="000274A1"/>
    <w:rsid w:val="00031D61"/>
    <w:rsid w:val="00047524"/>
    <w:rsid w:val="000566C1"/>
    <w:rsid w:val="00092917"/>
    <w:rsid w:val="000A26DD"/>
    <w:rsid w:val="000B2D39"/>
    <w:rsid w:val="000E43B1"/>
    <w:rsid w:val="000E486C"/>
    <w:rsid w:val="000E7F5E"/>
    <w:rsid w:val="0011278D"/>
    <w:rsid w:val="0011724A"/>
    <w:rsid w:val="0013070B"/>
    <w:rsid w:val="001565A5"/>
    <w:rsid w:val="00161D2B"/>
    <w:rsid w:val="00166ED8"/>
    <w:rsid w:val="00166FF8"/>
    <w:rsid w:val="0017399B"/>
    <w:rsid w:val="00187F9D"/>
    <w:rsid w:val="001904D1"/>
    <w:rsid w:val="001A2060"/>
    <w:rsid w:val="001A6E26"/>
    <w:rsid w:val="001B2E1D"/>
    <w:rsid w:val="001E18CD"/>
    <w:rsid w:val="001E22E0"/>
    <w:rsid w:val="001E26A0"/>
    <w:rsid w:val="001F2942"/>
    <w:rsid w:val="001F5C75"/>
    <w:rsid w:val="00200217"/>
    <w:rsid w:val="00203527"/>
    <w:rsid w:val="00214911"/>
    <w:rsid w:val="00215EC6"/>
    <w:rsid w:val="002409B0"/>
    <w:rsid w:val="002542F1"/>
    <w:rsid w:val="00271072"/>
    <w:rsid w:val="002905BA"/>
    <w:rsid w:val="00297B4F"/>
    <w:rsid w:val="002C0274"/>
    <w:rsid w:val="003029E5"/>
    <w:rsid w:val="003140C7"/>
    <w:rsid w:val="00326217"/>
    <w:rsid w:val="0035613D"/>
    <w:rsid w:val="00357565"/>
    <w:rsid w:val="00357A34"/>
    <w:rsid w:val="00381494"/>
    <w:rsid w:val="003855BB"/>
    <w:rsid w:val="003A1BB1"/>
    <w:rsid w:val="003A3ADE"/>
    <w:rsid w:val="003E06BA"/>
    <w:rsid w:val="003F3A5C"/>
    <w:rsid w:val="0040649C"/>
    <w:rsid w:val="00412075"/>
    <w:rsid w:val="0041485A"/>
    <w:rsid w:val="00445A85"/>
    <w:rsid w:val="0045319A"/>
    <w:rsid w:val="004671BD"/>
    <w:rsid w:val="00476289"/>
    <w:rsid w:val="004E0F0F"/>
    <w:rsid w:val="004E5B59"/>
    <w:rsid w:val="004F0981"/>
    <w:rsid w:val="004F3BA9"/>
    <w:rsid w:val="004F3CAA"/>
    <w:rsid w:val="004F7ED5"/>
    <w:rsid w:val="005005F3"/>
    <w:rsid w:val="00505A09"/>
    <w:rsid w:val="00513C6B"/>
    <w:rsid w:val="005155AE"/>
    <w:rsid w:val="00520FA3"/>
    <w:rsid w:val="00527637"/>
    <w:rsid w:val="00530467"/>
    <w:rsid w:val="005314C0"/>
    <w:rsid w:val="00546570"/>
    <w:rsid w:val="00574C03"/>
    <w:rsid w:val="00583393"/>
    <w:rsid w:val="0058704A"/>
    <w:rsid w:val="005900A5"/>
    <w:rsid w:val="005A152F"/>
    <w:rsid w:val="005A1771"/>
    <w:rsid w:val="005B0B25"/>
    <w:rsid w:val="005B2BC2"/>
    <w:rsid w:val="005D4A70"/>
    <w:rsid w:val="005E4A52"/>
    <w:rsid w:val="005E7B15"/>
    <w:rsid w:val="0062643D"/>
    <w:rsid w:val="00637E29"/>
    <w:rsid w:val="00644CC4"/>
    <w:rsid w:val="0067191C"/>
    <w:rsid w:val="00677C6D"/>
    <w:rsid w:val="00680380"/>
    <w:rsid w:val="006C2629"/>
    <w:rsid w:val="006D3D95"/>
    <w:rsid w:val="006E11BC"/>
    <w:rsid w:val="006F17D0"/>
    <w:rsid w:val="006F4CDF"/>
    <w:rsid w:val="00702A78"/>
    <w:rsid w:val="0072155A"/>
    <w:rsid w:val="007344D1"/>
    <w:rsid w:val="0073519F"/>
    <w:rsid w:val="00743AE8"/>
    <w:rsid w:val="00766B64"/>
    <w:rsid w:val="0078055D"/>
    <w:rsid w:val="00781ECA"/>
    <w:rsid w:val="00794DB8"/>
    <w:rsid w:val="007B1067"/>
    <w:rsid w:val="007B6BFD"/>
    <w:rsid w:val="007D1B87"/>
    <w:rsid w:val="007D3BD6"/>
    <w:rsid w:val="007E06C7"/>
    <w:rsid w:val="007E4D04"/>
    <w:rsid w:val="007F5020"/>
    <w:rsid w:val="007F504F"/>
    <w:rsid w:val="00804D01"/>
    <w:rsid w:val="00806207"/>
    <w:rsid w:val="008278E2"/>
    <w:rsid w:val="008529F8"/>
    <w:rsid w:val="008609B9"/>
    <w:rsid w:val="008757C6"/>
    <w:rsid w:val="00880F1A"/>
    <w:rsid w:val="008942F1"/>
    <w:rsid w:val="00897F03"/>
    <w:rsid w:val="008A4222"/>
    <w:rsid w:val="008B029C"/>
    <w:rsid w:val="008C0629"/>
    <w:rsid w:val="008D35CC"/>
    <w:rsid w:val="008D370C"/>
    <w:rsid w:val="008E1BE4"/>
    <w:rsid w:val="009110EE"/>
    <w:rsid w:val="00921D17"/>
    <w:rsid w:val="0093045E"/>
    <w:rsid w:val="00942B47"/>
    <w:rsid w:val="00945F08"/>
    <w:rsid w:val="00974E6B"/>
    <w:rsid w:val="009837E5"/>
    <w:rsid w:val="00983AC0"/>
    <w:rsid w:val="009859F0"/>
    <w:rsid w:val="009E0781"/>
    <w:rsid w:val="009F06E4"/>
    <w:rsid w:val="009F072D"/>
    <w:rsid w:val="009F0B50"/>
    <w:rsid w:val="00A0482E"/>
    <w:rsid w:val="00A11437"/>
    <w:rsid w:val="00A163C3"/>
    <w:rsid w:val="00A20B81"/>
    <w:rsid w:val="00A26AC1"/>
    <w:rsid w:val="00A33158"/>
    <w:rsid w:val="00A451C6"/>
    <w:rsid w:val="00A46111"/>
    <w:rsid w:val="00A55B8E"/>
    <w:rsid w:val="00A6212C"/>
    <w:rsid w:val="00A7218F"/>
    <w:rsid w:val="00A75B0F"/>
    <w:rsid w:val="00A76434"/>
    <w:rsid w:val="00A82D03"/>
    <w:rsid w:val="00AB0658"/>
    <w:rsid w:val="00AB21F3"/>
    <w:rsid w:val="00AB3420"/>
    <w:rsid w:val="00AB6BD0"/>
    <w:rsid w:val="00AB6BFE"/>
    <w:rsid w:val="00AD0726"/>
    <w:rsid w:val="00AD166D"/>
    <w:rsid w:val="00AD5520"/>
    <w:rsid w:val="00AF1C59"/>
    <w:rsid w:val="00B030FD"/>
    <w:rsid w:val="00B10E39"/>
    <w:rsid w:val="00B13927"/>
    <w:rsid w:val="00B227CE"/>
    <w:rsid w:val="00B26E40"/>
    <w:rsid w:val="00B30BDC"/>
    <w:rsid w:val="00B461A7"/>
    <w:rsid w:val="00B53093"/>
    <w:rsid w:val="00B613A8"/>
    <w:rsid w:val="00B6727E"/>
    <w:rsid w:val="00B86D5D"/>
    <w:rsid w:val="00BB1379"/>
    <w:rsid w:val="00BC4CC5"/>
    <w:rsid w:val="00BE35C6"/>
    <w:rsid w:val="00BE4763"/>
    <w:rsid w:val="00BF0EB8"/>
    <w:rsid w:val="00C1299F"/>
    <w:rsid w:val="00C17F56"/>
    <w:rsid w:val="00C26590"/>
    <w:rsid w:val="00C409F3"/>
    <w:rsid w:val="00C41310"/>
    <w:rsid w:val="00C5378A"/>
    <w:rsid w:val="00C65B04"/>
    <w:rsid w:val="00C67B96"/>
    <w:rsid w:val="00C839BC"/>
    <w:rsid w:val="00C953A3"/>
    <w:rsid w:val="00CE1C5C"/>
    <w:rsid w:val="00CF6F75"/>
    <w:rsid w:val="00D01DA2"/>
    <w:rsid w:val="00D253B7"/>
    <w:rsid w:val="00D34176"/>
    <w:rsid w:val="00D34FE2"/>
    <w:rsid w:val="00D547EE"/>
    <w:rsid w:val="00D85268"/>
    <w:rsid w:val="00D92C1D"/>
    <w:rsid w:val="00DA2682"/>
    <w:rsid w:val="00DA566C"/>
    <w:rsid w:val="00DC21E0"/>
    <w:rsid w:val="00DF1E84"/>
    <w:rsid w:val="00DF31A9"/>
    <w:rsid w:val="00E069C7"/>
    <w:rsid w:val="00E126C8"/>
    <w:rsid w:val="00E24F29"/>
    <w:rsid w:val="00E47370"/>
    <w:rsid w:val="00E57FE2"/>
    <w:rsid w:val="00E819BC"/>
    <w:rsid w:val="00E90713"/>
    <w:rsid w:val="00E9411F"/>
    <w:rsid w:val="00E94707"/>
    <w:rsid w:val="00E96DCD"/>
    <w:rsid w:val="00ED0DD6"/>
    <w:rsid w:val="00ED65EE"/>
    <w:rsid w:val="00EF02C8"/>
    <w:rsid w:val="00F20EB8"/>
    <w:rsid w:val="00F3122A"/>
    <w:rsid w:val="00F5249D"/>
    <w:rsid w:val="00F530BF"/>
    <w:rsid w:val="00F55CB8"/>
    <w:rsid w:val="00F64035"/>
    <w:rsid w:val="00F7472E"/>
    <w:rsid w:val="00F86BA1"/>
    <w:rsid w:val="00FA06E7"/>
    <w:rsid w:val="00FA3736"/>
    <w:rsid w:val="00FB0D1F"/>
    <w:rsid w:val="00FC18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A2ACD3"/>
  <w14:defaultImageDpi w14:val="330"/>
  <w15:docId w15:val="{28092CCA-1A9B-446E-9FE4-18310A75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55D"/>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B6BFE"/>
    <w:pPr>
      <w:numPr>
        <w:numId w:val="23"/>
      </w:numPr>
      <w:spacing w:after="120" w:line="276" w:lineRule="auto"/>
      <w:ind w:left="1080"/>
    </w:pPr>
    <w:rPr>
      <w:rFonts w:ascii="Arial" w:hAnsi="Arial"/>
    </w:rPr>
  </w:style>
  <w:style w:type="paragraph" w:customStyle="1" w:styleId="SubBullets">
    <w:name w:val="Sub Bullets"/>
    <w:qFormat/>
    <w:rsid w:val="00AB6BFE"/>
    <w:pPr>
      <w:numPr>
        <w:numId w:val="24"/>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0A26DD"/>
    <w:pPr>
      <w:spacing w:after="480"/>
    </w:pPr>
    <w:rPr>
      <w:b/>
      <w:color w:val="5DEB4B" w:themeColor="accent6"/>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Paragraph">
    <w:name w:val="List Paragraph"/>
    <w:basedOn w:val="Normal"/>
    <w:uiPriority w:val="34"/>
    <w:qFormat/>
    <w:rsid w:val="00AB6BFE"/>
    <w:pPr>
      <w:numPr>
        <w:numId w:val="22"/>
      </w:numPr>
      <w:contextualSpacing/>
    </w:pPr>
  </w:style>
  <w:style w:type="paragraph" w:styleId="ListNumber">
    <w:name w:val="List Number"/>
    <w:basedOn w:val="Normal"/>
    <w:uiPriority w:val="99"/>
    <w:unhideWhenUsed/>
    <w:qFormat/>
    <w:rsid w:val="00AB6BFE"/>
    <w:pPr>
      <w:numPr>
        <w:numId w:val="25"/>
      </w:numPr>
      <w:ind w:left="720" w:hanging="357"/>
    </w:pPr>
  </w:style>
  <w:style w:type="paragraph" w:customStyle="1" w:styleId="Default">
    <w:name w:val="Default"/>
    <w:rsid w:val="006F4CDF"/>
    <w:pPr>
      <w:autoSpaceDE w:val="0"/>
      <w:autoSpaceDN w:val="0"/>
      <w:adjustRightInd w:val="0"/>
    </w:pPr>
    <w:rPr>
      <w:rFonts w:ascii="Arial" w:hAnsi="Arial" w:cs="Arial"/>
      <w:color w:val="000000"/>
    </w:rPr>
  </w:style>
  <w:style w:type="paragraph" w:styleId="FootnoteText">
    <w:name w:val="footnote text"/>
    <w:basedOn w:val="Normal"/>
    <w:link w:val="FootnoteTextChar"/>
    <w:uiPriority w:val="99"/>
    <w:semiHidden/>
    <w:unhideWhenUsed/>
    <w:rsid w:val="000566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66C1"/>
    <w:rPr>
      <w:rFonts w:ascii="Arial" w:hAnsi="Arial"/>
      <w:sz w:val="20"/>
      <w:szCs w:val="20"/>
    </w:rPr>
  </w:style>
  <w:style w:type="character" w:styleId="FootnoteReference">
    <w:name w:val="footnote reference"/>
    <w:basedOn w:val="DefaultParagraphFont"/>
    <w:uiPriority w:val="99"/>
    <w:semiHidden/>
    <w:unhideWhenUsed/>
    <w:rsid w:val="000566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6589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5B3ED4E87F564A8AE3541C0AC8ECDA" ma:contentTypeVersion="12" ma:contentTypeDescription="Create a new document." ma:contentTypeScope="" ma:versionID="1cf3e46a6775e704453b069a3b34894a">
  <xsd:schema xmlns:xsd="http://www.w3.org/2001/XMLSchema" xmlns:xs="http://www.w3.org/2001/XMLSchema" xmlns:p="http://schemas.microsoft.com/office/2006/metadata/properties" xmlns:ns3="7cd9390b-27d3-4bc7-89af-67bb8bd1da99" xmlns:ns4="41ca3d97-a686-4268-b720-f1ca6d7055a7" targetNamespace="http://schemas.microsoft.com/office/2006/metadata/properties" ma:root="true" ma:fieldsID="56f15557adf2f7a10ef06e1516843822" ns3:_="" ns4:_="">
    <xsd:import namespace="7cd9390b-27d3-4bc7-89af-67bb8bd1da99"/>
    <xsd:import namespace="41ca3d97-a686-4268-b720-f1ca6d7055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9390b-27d3-4bc7-89af-67bb8bd1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ca3d97-a686-4268-b720-f1ca6d705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D09CA-81CB-403F-AB49-E6B6B9BCD9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09EB80-E47A-408E-83FC-60E58F994DAA}">
  <ds:schemaRefs>
    <ds:schemaRef ds:uri="http://schemas.microsoft.com/sharepoint/v3/contenttype/forms"/>
  </ds:schemaRefs>
</ds:datastoreItem>
</file>

<file path=customXml/itemProps3.xml><?xml version="1.0" encoding="utf-8"?>
<ds:datastoreItem xmlns:ds="http://schemas.openxmlformats.org/officeDocument/2006/customXml" ds:itemID="{F9352608-FE33-4339-9D21-3942FB409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9390b-27d3-4bc7-89af-67bb8bd1da99"/>
    <ds:schemaRef ds:uri="41ca3d97-a686-4268-b720-f1ca6d705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5EA63D-FF1E-43D9-A91D-3760D279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Kate (Australia)</dc:creator>
  <cp:keywords/>
  <dc:description/>
  <cp:lastModifiedBy>Morley, Susannah (Hong Kong)</cp:lastModifiedBy>
  <cp:revision>22</cp:revision>
  <cp:lastPrinted>2019-10-31T13:43:00Z</cp:lastPrinted>
  <dcterms:created xsi:type="dcterms:W3CDTF">2020-10-05T10:21:00Z</dcterms:created>
  <dcterms:modified xsi:type="dcterms:W3CDTF">2020-10-05T12:29:00Z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0x0101007C5B3ED4E87F564A8AE3541C0AC8ECDA</vt:lpwstr>
  </property>
</Properties>
</file>