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222" w:rsidRDefault="00F3005A" w:rsidP="007370CE">
      <w:pPr>
        <w:pStyle w:val="CoverTitle"/>
        <w:rPr>
          <w:sz w:val="72"/>
        </w:rPr>
      </w:pPr>
      <w:bookmarkStart w:id="0" w:name="_Hlk22825627"/>
      <w:r>
        <w:rPr>
          <w:sz w:val="72"/>
        </w:rPr>
        <w:t>UK/Australia Season 2021-22</w:t>
      </w:r>
      <w:r>
        <w:rPr>
          <w:sz w:val="72"/>
        </w:rPr>
        <w:br/>
        <w:t>COP26 Grant</w:t>
      </w:r>
    </w:p>
    <w:p w:rsidR="00F3005A" w:rsidRDefault="00F3005A" w:rsidP="00F3005A">
      <w:pPr>
        <w:pStyle w:val="HeadingA"/>
      </w:pPr>
      <w:r w:rsidRPr="001A742E">
        <w:t>Eligibility criteria and application guidelines</w:t>
      </w:r>
    </w:p>
    <w:p w:rsidR="00F3005A" w:rsidRPr="001A742E" w:rsidRDefault="00F3005A" w:rsidP="00F3005A">
      <w:pPr>
        <w:pStyle w:val="HeadingB"/>
        <w:rPr>
          <w:sz w:val="22"/>
          <w:szCs w:val="22"/>
        </w:rPr>
      </w:pPr>
      <w:r w:rsidRPr="001A742E">
        <w:t>Grant</w:t>
      </w:r>
      <w:r w:rsidRPr="001A742E">
        <w:rPr>
          <w:sz w:val="22"/>
          <w:szCs w:val="22"/>
        </w:rPr>
        <w:t xml:space="preserve"> </w:t>
      </w:r>
      <w:r w:rsidRPr="001A742E">
        <w:t>available</w:t>
      </w:r>
    </w:p>
    <w:p w:rsidR="00F3005A" w:rsidRPr="00B55494" w:rsidRDefault="00F3005A" w:rsidP="00F3005A">
      <w:pPr>
        <w:rPr>
          <w:rFonts w:cs="Arial"/>
        </w:rPr>
      </w:pPr>
      <w:r>
        <w:rPr>
          <w:rFonts w:cs="Arial"/>
        </w:rPr>
        <w:t>We have available a small number of one-off grants of between GBP10,000 and GBP25,000</w:t>
      </w:r>
      <w:r w:rsidRPr="00B55494">
        <w:rPr>
          <w:rFonts w:cs="Arial"/>
        </w:rPr>
        <w:t xml:space="preserve"> </w:t>
      </w:r>
      <w:r w:rsidRPr="00B55494">
        <w:rPr>
          <w:rFonts w:eastAsia="Times New Roman" w:cs="Arial"/>
          <w:lang w:eastAsia="en-GB"/>
        </w:rPr>
        <w:t xml:space="preserve">to fund joint </w:t>
      </w:r>
      <w:r>
        <w:rPr>
          <w:rFonts w:eastAsia="Times New Roman" w:cs="Arial"/>
          <w:lang w:eastAsia="en-GB"/>
        </w:rPr>
        <w:t>projects</w:t>
      </w:r>
      <w:r w:rsidRPr="00B55494">
        <w:rPr>
          <w:rFonts w:eastAsia="Times New Roman" w:cs="Arial"/>
          <w:lang w:eastAsia="en-GB"/>
        </w:rPr>
        <w:t xml:space="preserve"> presented </w:t>
      </w:r>
      <w:r>
        <w:rPr>
          <w:rFonts w:eastAsia="Times New Roman" w:cs="Arial"/>
          <w:lang w:eastAsia="en-GB"/>
        </w:rPr>
        <w:t xml:space="preserve">by </w:t>
      </w:r>
      <w:r w:rsidRPr="00B55494">
        <w:rPr>
          <w:rFonts w:eastAsia="Times New Roman" w:cs="Arial"/>
          <w:lang w:eastAsia="en-GB"/>
        </w:rPr>
        <w:t>UK and Australian universit</w:t>
      </w:r>
      <w:r>
        <w:rPr>
          <w:rFonts w:eastAsia="Times New Roman" w:cs="Arial"/>
          <w:lang w:eastAsia="en-GB"/>
        </w:rPr>
        <w:t>ies in partnership with universities from ODA eligible countries</w:t>
      </w:r>
      <w:r w:rsidRPr="00B55494">
        <w:rPr>
          <w:rStyle w:val="FootnoteReference"/>
          <w:rFonts w:eastAsia="Times New Roman" w:cs="Arial"/>
          <w:lang w:eastAsia="en-GB"/>
        </w:rPr>
        <w:footnoteReference w:id="1"/>
      </w:r>
      <w:r w:rsidRPr="00B55494">
        <w:rPr>
          <w:rFonts w:eastAsia="Times New Roman" w:cs="Arial"/>
          <w:lang w:eastAsia="en-GB"/>
        </w:rPr>
        <w:t xml:space="preserve">. </w:t>
      </w:r>
      <w:r>
        <w:rPr>
          <w:rFonts w:eastAsia="Times New Roman" w:cs="Arial"/>
          <w:b/>
          <w:bCs/>
          <w:lang w:eastAsia="en-GB"/>
        </w:rPr>
        <w:t>Collaborative</w:t>
      </w:r>
      <w:r w:rsidRPr="004A0559">
        <w:rPr>
          <w:rFonts w:eastAsia="Times New Roman" w:cs="Arial"/>
          <w:b/>
          <w:bCs/>
          <w:lang w:eastAsia="en-GB"/>
        </w:rPr>
        <w:t xml:space="preserve"> projects must be focused on key climate and/or environmental issues facing ODA countries</w:t>
      </w:r>
      <w:r w:rsidRPr="00B55494">
        <w:rPr>
          <w:rFonts w:eastAsia="Times New Roman" w:cs="Arial"/>
          <w:lang w:eastAsia="en-GB"/>
        </w:rPr>
        <w:t xml:space="preserve">. </w:t>
      </w:r>
      <w:r>
        <w:rPr>
          <w:rFonts w:eastAsia="Times New Roman" w:cs="Arial"/>
          <w:lang w:eastAsia="en-GB"/>
        </w:rPr>
        <w:br/>
      </w:r>
      <w:r>
        <w:rPr>
          <w:rFonts w:eastAsia="Times New Roman" w:cs="Arial"/>
          <w:lang w:eastAsia="en-GB"/>
        </w:rPr>
        <w:br/>
      </w:r>
      <w:r w:rsidRPr="00B55494">
        <w:rPr>
          <w:rFonts w:eastAsia="Times New Roman" w:cs="Arial"/>
          <w:lang w:eastAsia="en-GB"/>
        </w:rPr>
        <w:t xml:space="preserve">The </w:t>
      </w:r>
      <w:r>
        <w:rPr>
          <w:rFonts w:eastAsia="Times New Roman" w:cs="Arial"/>
          <w:lang w:eastAsia="en-GB"/>
        </w:rPr>
        <w:t xml:space="preserve">project </w:t>
      </w:r>
      <w:r w:rsidRPr="00B55494">
        <w:rPr>
          <w:rFonts w:eastAsia="Times New Roman" w:cs="Arial"/>
          <w:lang w:eastAsia="en-GB"/>
        </w:rPr>
        <w:t>must have societal and or economic development outcomes</w:t>
      </w:r>
      <w:r>
        <w:rPr>
          <w:rFonts w:eastAsia="Times New Roman" w:cs="Arial"/>
          <w:lang w:eastAsia="en-GB"/>
        </w:rPr>
        <w:t xml:space="preserve"> which will be delivered in an ODA country,</w:t>
      </w:r>
      <w:r w:rsidRPr="00B55494">
        <w:rPr>
          <w:rFonts w:eastAsia="Times New Roman" w:cs="Arial"/>
          <w:lang w:eastAsia="en-GB"/>
        </w:rPr>
        <w:t xml:space="preserve"> and be aligned to Sustainable Development Goal 13 and other related SDGs</w:t>
      </w:r>
      <w:r w:rsidRPr="00B55494">
        <w:rPr>
          <w:rStyle w:val="FootnoteReference"/>
          <w:rFonts w:eastAsia="Times New Roman" w:cs="Arial"/>
          <w:lang w:eastAsia="en-GB"/>
        </w:rPr>
        <w:footnoteReference w:id="2"/>
      </w:r>
      <w:r>
        <w:rPr>
          <w:rFonts w:eastAsia="Times New Roman" w:cs="Arial"/>
          <w:lang w:eastAsia="en-GB"/>
        </w:rPr>
        <w:t>.</w:t>
      </w:r>
      <w:r w:rsidRPr="00B55494">
        <w:rPr>
          <w:rFonts w:eastAsia="Times New Roman" w:cs="Arial"/>
          <w:lang w:eastAsia="en-GB"/>
        </w:rPr>
        <w:t xml:space="preserve"> The </w:t>
      </w:r>
      <w:r>
        <w:rPr>
          <w:rFonts w:eastAsia="Times New Roman" w:cs="Arial"/>
          <w:lang w:eastAsia="en-GB"/>
        </w:rPr>
        <w:t>project</w:t>
      </w:r>
      <w:r w:rsidRPr="00B55494">
        <w:rPr>
          <w:rFonts w:eastAsia="Times New Roman" w:cs="Arial"/>
          <w:lang w:eastAsia="en-GB"/>
        </w:rPr>
        <w:t xml:space="preserve"> needs to demonstrate a high level of involvement of ECRs (preferably from ODA countries) and be designed so that it has two distinct parts:</w:t>
      </w:r>
    </w:p>
    <w:p w:rsidR="00F3005A" w:rsidRPr="00F3005A" w:rsidRDefault="00F3005A" w:rsidP="00F3005A">
      <w:pPr>
        <w:pStyle w:val="ListParagraph"/>
        <w:numPr>
          <w:ilvl w:val="0"/>
          <w:numId w:val="31"/>
        </w:numPr>
        <w:rPr>
          <w:sz w:val="24"/>
          <w:lang w:eastAsia="en-GB"/>
        </w:rPr>
      </w:pPr>
      <w:r w:rsidRPr="00F3005A">
        <w:rPr>
          <w:sz w:val="24"/>
          <w:lang w:eastAsia="en-GB"/>
        </w:rPr>
        <w:t xml:space="preserve">a component which can feature as a core part of the UK/Australia Season, which can be delivered in Australia or online between September 2021 and March 2022. </w:t>
      </w:r>
    </w:p>
    <w:p w:rsidR="00F3005A" w:rsidRPr="00F3005A" w:rsidRDefault="00F3005A" w:rsidP="00F3005A">
      <w:pPr>
        <w:pStyle w:val="ListParagraph"/>
        <w:numPr>
          <w:ilvl w:val="0"/>
          <w:numId w:val="31"/>
        </w:numPr>
        <w:rPr>
          <w:sz w:val="24"/>
          <w:lang w:eastAsia="en-GB"/>
        </w:rPr>
      </w:pPr>
      <w:r w:rsidRPr="00F3005A">
        <w:rPr>
          <w:sz w:val="24"/>
          <w:lang w:eastAsia="en-GB"/>
        </w:rPr>
        <w:t xml:space="preserve">a component which can be delivered or featured at COP26 in Glasgow in November 2021. </w:t>
      </w:r>
    </w:p>
    <w:p w:rsidR="00F3005A" w:rsidRPr="001A742E" w:rsidRDefault="00F3005A" w:rsidP="00F3005A">
      <w:pPr>
        <w:rPr>
          <w:rFonts w:cs="Arial"/>
        </w:rPr>
      </w:pPr>
      <w:r w:rsidRPr="000F6ED8">
        <w:rPr>
          <w:rFonts w:eastAsia="Times New Roman" w:cs="Arial"/>
          <w:b/>
          <w:bCs/>
          <w:lang w:eastAsia="en-GB"/>
        </w:rPr>
        <w:t>The outputs and impact of this initiative must be delivered in ODA countries to qualify for the funding</w:t>
      </w:r>
      <w:r w:rsidRPr="00B55494">
        <w:rPr>
          <w:rFonts w:eastAsia="Times New Roman" w:cs="Arial"/>
          <w:lang w:eastAsia="en-GB"/>
        </w:rPr>
        <w:t>. Contracts will be issued to successful grantees in Jan</w:t>
      </w:r>
      <w:r>
        <w:rPr>
          <w:rFonts w:eastAsia="Times New Roman" w:cs="Arial"/>
          <w:lang w:eastAsia="en-GB"/>
        </w:rPr>
        <w:t>uary/February</w:t>
      </w:r>
      <w:r w:rsidRPr="00B55494">
        <w:rPr>
          <w:rFonts w:eastAsia="Times New Roman" w:cs="Arial"/>
          <w:lang w:eastAsia="en-GB"/>
        </w:rPr>
        <w:t xml:space="preserve"> 2021</w:t>
      </w:r>
      <w:r>
        <w:rPr>
          <w:rFonts w:eastAsia="Times New Roman" w:cs="Arial"/>
          <w:lang w:eastAsia="en-GB"/>
        </w:rPr>
        <w:t xml:space="preserve">. </w:t>
      </w:r>
      <w:r w:rsidRPr="003D1743">
        <w:rPr>
          <w:rFonts w:eastAsia="Times New Roman" w:cs="Arial"/>
          <w:b/>
          <w:bCs/>
          <w:lang w:eastAsia="en-GB"/>
        </w:rPr>
        <w:t xml:space="preserve">Projects must be completed </w:t>
      </w:r>
      <w:r>
        <w:rPr>
          <w:rFonts w:eastAsia="Times New Roman" w:cs="Arial"/>
          <w:b/>
          <w:bCs/>
          <w:lang w:eastAsia="en-GB"/>
        </w:rPr>
        <w:t>by 31 March 2022</w:t>
      </w:r>
      <w:r w:rsidRPr="003D1743">
        <w:rPr>
          <w:rFonts w:eastAsia="Times New Roman" w:cs="Arial"/>
          <w:b/>
          <w:bCs/>
          <w:lang w:eastAsia="en-GB"/>
        </w:rPr>
        <w:t>.</w:t>
      </w:r>
    </w:p>
    <w:p w:rsidR="00F3005A" w:rsidRPr="001A742E" w:rsidRDefault="00F3005A" w:rsidP="00F3005A">
      <w:pPr>
        <w:rPr>
          <w:rFonts w:cs="Arial"/>
          <w:b/>
          <w:bCs/>
        </w:rPr>
      </w:pPr>
      <w:r w:rsidRPr="001A742E">
        <w:rPr>
          <w:rFonts w:cs="Arial"/>
          <w:b/>
          <w:bCs/>
        </w:rPr>
        <w:t xml:space="preserve">What are we looking </w:t>
      </w:r>
      <w:proofErr w:type="gramStart"/>
      <w:r w:rsidRPr="001A742E">
        <w:rPr>
          <w:rFonts w:cs="Arial"/>
          <w:b/>
          <w:bCs/>
        </w:rPr>
        <w:t>for</w:t>
      </w:r>
      <w:r>
        <w:rPr>
          <w:rFonts w:cs="Arial"/>
          <w:b/>
          <w:bCs/>
        </w:rPr>
        <w:t>:</w:t>
      </w:r>
      <w:proofErr w:type="gramEnd"/>
    </w:p>
    <w:p w:rsidR="00F3005A" w:rsidRPr="00F3005A" w:rsidRDefault="00F3005A" w:rsidP="00F3005A">
      <w:pPr>
        <w:pStyle w:val="ListParagraph"/>
        <w:numPr>
          <w:ilvl w:val="0"/>
          <w:numId w:val="23"/>
        </w:numPr>
        <w:spacing w:line="276" w:lineRule="auto"/>
        <w:rPr>
          <w:rFonts w:ascii="Arial" w:hAnsi="Arial" w:cs="Arial"/>
          <w:sz w:val="24"/>
        </w:rPr>
      </w:pPr>
      <w:r w:rsidRPr="00F3005A">
        <w:rPr>
          <w:rFonts w:ascii="Arial" w:hAnsi="Arial" w:cs="Arial"/>
          <w:sz w:val="24"/>
        </w:rPr>
        <w:t xml:space="preserve">Proposals for initiatives/activities which align with the aims and objectives of the UK/Australia Season and with the objectives of COP26. Proposals should include components which can be delivered as part of the UK/Australia Season (September 2021 – March 2022) and the COP26 (November 2021). The order in which these two </w:t>
      </w:r>
      <w:r w:rsidRPr="00F3005A">
        <w:rPr>
          <w:rFonts w:ascii="Arial" w:hAnsi="Arial" w:cs="Arial"/>
          <w:sz w:val="24"/>
        </w:rPr>
        <w:lastRenderedPageBreak/>
        <w:t xml:space="preserve">components is delivered doesn’t matter is </w:t>
      </w:r>
      <w:proofErr w:type="gramStart"/>
      <w:r w:rsidRPr="00F3005A">
        <w:rPr>
          <w:rFonts w:ascii="Arial" w:hAnsi="Arial" w:cs="Arial"/>
          <w:sz w:val="24"/>
        </w:rPr>
        <w:t>as long as</w:t>
      </w:r>
      <w:proofErr w:type="gramEnd"/>
      <w:r w:rsidRPr="00F3005A">
        <w:rPr>
          <w:rFonts w:ascii="Arial" w:hAnsi="Arial" w:cs="Arial"/>
          <w:sz w:val="24"/>
        </w:rPr>
        <w:t xml:space="preserve"> they are timed to coincide with both events. </w:t>
      </w:r>
    </w:p>
    <w:p w:rsidR="00F3005A" w:rsidRPr="00F3005A" w:rsidRDefault="00F3005A" w:rsidP="00F3005A">
      <w:pPr>
        <w:pStyle w:val="ListParagraph"/>
        <w:numPr>
          <w:ilvl w:val="0"/>
          <w:numId w:val="23"/>
        </w:numPr>
        <w:spacing w:line="276" w:lineRule="auto"/>
        <w:rPr>
          <w:rFonts w:ascii="Arial" w:hAnsi="Arial" w:cs="Arial"/>
          <w:sz w:val="24"/>
        </w:rPr>
      </w:pPr>
      <w:r w:rsidRPr="00F3005A">
        <w:rPr>
          <w:rFonts w:ascii="Arial" w:hAnsi="Arial" w:cs="Arial"/>
          <w:sz w:val="24"/>
        </w:rPr>
        <w:t>We welcome proposals which seed research projects; capacity building initiatives; mobility programmes or other similar activities which will draw on the expertise of the partnering HEIs to promote economic growth or the welfare of ODA eligible countries.</w:t>
      </w:r>
    </w:p>
    <w:p w:rsidR="00F3005A" w:rsidRPr="00F3005A" w:rsidRDefault="00F3005A" w:rsidP="00F3005A">
      <w:pPr>
        <w:pStyle w:val="ListParagraph"/>
        <w:numPr>
          <w:ilvl w:val="0"/>
          <w:numId w:val="23"/>
        </w:numPr>
        <w:spacing w:line="276" w:lineRule="auto"/>
        <w:rPr>
          <w:rFonts w:ascii="Arial" w:hAnsi="Arial" w:cs="Arial"/>
          <w:sz w:val="24"/>
        </w:rPr>
      </w:pPr>
      <w:r w:rsidRPr="00F3005A">
        <w:rPr>
          <w:rFonts w:ascii="Arial" w:hAnsi="Arial" w:cs="Arial"/>
          <w:sz w:val="24"/>
        </w:rPr>
        <w:t>Proposals which include at least one partner from HEIs from ODA eligible countries.</w:t>
      </w:r>
    </w:p>
    <w:p w:rsidR="00F3005A" w:rsidRPr="00F3005A" w:rsidRDefault="00F3005A" w:rsidP="00F3005A">
      <w:pPr>
        <w:pStyle w:val="ListParagraph"/>
        <w:numPr>
          <w:ilvl w:val="0"/>
          <w:numId w:val="23"/>
        </w:numPr>
        <w:spacing w:line="276" w:lineRule="auto"/>
        <w:rPr>
          <w:rFonts w:ascii="Arial" w:hAnsi="Arial" w:cs="Arial"/>
          <w:sz w:val="24"/>
        </w:rPr>
      </w:pPr>
      <w:r w:rsidRPr="00F3005A">
        <w:rPr>
          <w:rFonts w:ascii="Arial" w:hAnsi="Arial" w:cs="Arial"/>
          <w:sz w:val="24"/>
        </w:rPr>
        <w:t xml:space="preserve">Proposals which have a </w:t>
      </w:r>
      <w:proofErr w:type="gramStart"/>
      <w:r w:rsidRPr="00F3005A">
        <w:rPr>
          <w:rFonts w:ascii="Arial" w:hAnsi="Arial" w:cs="Arial"/>
          <w:sz w:val="24"/>
        </w:rPr>
        <w:t>particular focus</w:t>
      </w:r>
      <w:proofErr w:type="gramEnd"/>
      <w:r w:rsidRPr="00F3005A">
        <w:rPr>
          <w:rFonts w:ascii="Arial" w:hAnsi="Arial" w:cs="Arial"/>
          <w:sz w:val="24"/>
        </w:rPr>
        <w:t xml:space="preserve"> on ECRs from the partnering institutions.</w:t>
      </w:r>
    </w:p>
    <w:p w:rsidR="00F3005A" w:rsidRPr="00F3005A" w:rsidRDefault="00F3005A" w:rsidP="00F3005A">
      <w:pPr>
        <w:pStyle w:val="ListParagraph"/>
        <w:numPr>
          <w:ilvl w:val="0"/>
          <w:numId w:val="23"/>
        </w:numPr>
        <w:spacing w:line="276" w:lineRule="auto"/>
        <w:rPr>
          <w:rFonts w:ascii="Arial" w:hAnsi="Arial" w:cs="Arial"/>
          <w:sz w:val="24"/>
        </w:rPr>
      </w:pPr>
      <w:r w:rsidRPr="00F3005A">
        <w:rPr>
          <w:rFonts w:ascii="Arial" w:hAnsi="Arial" w:cs="Arial"/>
          <w:sz w:val="24"/>
        </w:rPr>
        <w:t>Proposals which are interdisciplinary.</w:t>
      </w:r>
    </w:p>
    <w:p w:rsidR="00F3005A" w:rsidRPr="001A742E" w:rsidRDefault="00F3005A" w:rsidP="00F3005A">
      <w:pPr>
        <w:pStyle w:val="HeadingB"/>
      </w:pPr>
      <w:r w:rsidRPr="001A742E">
        <w:t>Eligibility</w:t>
      </w:r>
    </w:p>
    <w:p w:rsidR="00F3005A" w:rsidRPr="00F3005A" w:rsidRDefault="00F3005A" w:rsidP="00F3005A">
      <w:pPr>
        <w:pStyle w:val="ListParagraph"/>
        <w:numPr>
          <w:ilvl w:val="0"/>
          <w:numId w:val="25"/>
        </w:numPr>
        <w:spacing w:line="276" w:lineRule="auto"/>
        <w:rPr>
          <w:rFonts w:ascii="Arial" w:hAnsi="Arial" w:cs="Arial"/>
          <w:sz w:val="24"/>
        </w:rPr>
      </w:pPr>
      <w:r w:rsidRPr="00F3005A">
        <w:rPr>
          <w:rFonts w:ascii="Arial" w:hAnsi="Arial" w:cs="Arial"/>
          <w:sz w:val="24"/>
        </w:rPr>
        <w:t>To be eligible for funding your proposal must clearly demonstrate:</w:t>
      </w:r>
    </w:p>
    <w:p w:rsidR="00F3005A" w:rsidRPr="00F3005A" w:rsidRDefault="00F3005A" w:rsidP="00F3005A">
      <w:pPr>
        <w:pStyle w:val="NormalWeb"/>
        <w:numPr>
          <w:ilvl w:val="0"/>
          <w:numId w:val="24"/>
        </w:numPr>
        <w:spacing w:line="276" w:lineRule="auto"/>
        <w:rPr>
          <w:rFonts w:ascii="Arial" w:hAnsi="Arial" w:cs="Arial"/>
          <w:color w:val="000000"/>
          <w:szCs w:val="22"/>
        </w:rPr>
      </w:pPr>
      <w:r w:rsidRPr="00F3005A">
        <w:rPr>
          <w:rFonts w:ascii="Arial" w:hAnsi="Arial" w:cs="Arial"/>
          <w:color w:val="000000"/>
          <w:szCs w:val="22"/>
        </w:rPr>
        <w:t>The primary benefits will be delivered in or flow to an ODA eligible country or countries. ODA eligible countries are defined as per the OECD Development Assistance Committee (DAC) List of ODA Recipients</w:t>
      </w:r>
      <w:r w:rsidRPr="00F3005A">
        <w:rPr>
          <w:rStyle w:val="FootnoteReference"/>
          <w:rFonts w:ascii="Arial" w:hAnsi="Arial" w:cs="Arial"/>
          <w:color w:val="000000"/>
          <w:szCs w:val="22"/>
        </w:rPr>
        <w:footnoteReference w:id="3"/>
      </w:r>
      <w:r w:rsidRPr="00F3005A">
        <w:rPr>
          <w:rFonts w:ascii="Arial" w:hAnsi="Arial" w:cs="Arial"/>
          <w:color w:val="000000"/>
          <w:szCs w:val="22"/>
        </w:rPr>
        <w:t>, which includes fragile, developing and emerging economies. Developed economies are not eligible for ODA funding.</w:t>
      </w:r>
    </w:p>
    <w:p w:rsidR="00F3005A" w:rsidRPr="00F3005A" w:rsidRDefault="00F3005A" w:rsidP="00F3005A">
      <w:pPr>
        <w:pStyle w:val="NormalWeb"/>
        <w:numPr>
          <w:ilvl w:val="0"/>
          <w:numId w:val="24"/>
        </w:numPr>
        <w:spacing w:line="276" w:lineRule="auto"/>
        <w:rPr>
          <w:rFonts w:ascii="Arial" w:hAnsi="Arial" w:cs="Arial"/>
          <w:color w:val="000000"/>
          <w:szCs w:val="22"/>
        </w:rPr>
      </w:pPr>
      <w:r w:rsidRPr="00F3005A">
        <w:rPr>
          <w:rFonts w:ascii="Arial" w:hAnsi="Arial" w:cs="Arial"/>
          <w:color w:val="000000"/>
          <w:szCs w:val="22"/>
        </w:rPr>
        <w:t xml:space="preserve">The main objective is to promote the economic development and welfare of the recipient country/countries. </w:t>
      </w:r>
    </w:p>
    <w:p w:rsidR="00F3005A" w:rsidRPr="00F3005A" w:rsidRDefault="00F3005A" w:rsidP="00F3005A">
      <w:pPr>
        <w:pStyle w:val="NormalWeb"/>
        <w:numPr>
          <w:ilvl w:val="0"/>
          <w:numId w:val="24"/>
        </w:numPr>
        <w:spacing w:line="276" w:lineRule="auto"/>
        <w:rPr>
          <w:rFonts w:ascii="Arial" w:hAnsi="Arial" w:cs="Arial"/>
          <w:color w:val="000000"/>
          <w:szCs w:val="22"/>
        </w:rPr>
      </w:pPr>
      <w:r w:rsidRPr="00F3005A">
        <w:rPr>
          <w:rFonts w:ascii="Arial" w:hAnsi="Arial" w:cs="Arial"/>
          <w:color w:val="000000"/>
          <w:szCs w:val="22"/>
        </w:rPr>
        <w:t>Compliance with the International Development (Gender Equality) Act 2014 - the proposal should contribute to reducing poverty and to reducing inequality between persons of different gender</w:t>
      </w:r>
      <w:r w:rsidRPr="00F3005A">
        <w:rPr>
          <w:rStyle w:val="FootnoteReference"/>
          <w:rFonts w:ascii="Arial" w:hAnsi="Arial" w:cs="Arial"/>
          <w:color w:val="000000"/>
          <w:szCs w:val="22"/>
        </w:rPr>
        <w:footnoteReference w:id="4"/>
      </w:r>
      <w:r w:rsidRPr="00F3005A">
        <w:rPr>
          <w:rFonts w:ascii="Arial" w:hAnsi="Arial" w:cs="Arial"/>
          <w:color w:val="000000"/>
          <w:szCs w:val="22"/>
        </w:rPr>
        <w:t xml:space="preserve">. </w:t>
      </w:r>
    </w:p>
    <w:p w:rsidR="00F3005A" w:rsidRPr="00F3005A" w:rsidRDefault="00F3005A" w:rsidP="00F3005A">
      <w:pPr>
        <w:pStyle w:val="NormalWeb"/>
        <w:numPr>
          <w:ilvl w:val="0"/>
          <w:numId w:val="24"/>
        </w:numPr>
        <w:spacing w:line="276" w:lineRule="auto"/>
        <w:rPr>
          <w:rFonts w:ascii="Arial" w:hAnsi="Arial" w:cs="Arial"/>
          <w:color w:val="000000"/>
          <w:szCs w:val="22"/>
        </w:rPr>
      </w:pPr>
      <w:r w:rsidRPr="00F3005A">
        <w:rPr>
          <w:rFonts w:ascii="Arial" w:hAnsi="Arial" w:cs="Arial"/>
          <w:szCs w:val="22"/>
        </w:rPr>
        <w:t>Outline how you have taken meaningful yet proportionate consideration as to how the proposal will contribute to reducing gender inequalities. This should be about the project specifically – the outputs and outcomes; the make-up of the project team; participants, stakeholders and beneficiaries of the project; and the processes followed throughout the project.</w:t>
      </w:r>
    </w:p>
    <w:p w:rsidR="00F3005A" w:rsidRPr="00F3005A" w:rsidRDefault="00F3005A" w:rsidP="00F3005A">
      <w:pPr>
        <w:pStyle w:val="NormalWeb"/>
        <w:numPr>
          <w:ilvl w:val="0"/>
          <w:numId w:val="24"/>
        </w:numPr>
        <w:spacing w:line="276" w:lineRule="auto"/>
        <w:rPr>
          <w:rFonts w:ascii="Arial" w:hAnsi="Arial" w:cs="Arial"/>
          <w:color w:val="000000"/>
          <w:szCs w:val="22"/>
        </w:rPr>
      </w:pPr>
      <w:r w:rsidRPr="00F3005A">
        <w:rPr>
          <w:rFonts w:ascii="Arial" w:hAnsi="Arial" w:cs="Arial"/>
          <w:szCs w:val="22"/>
        </w:rPr>
        <w:t>Articulate a plausible route to positive impact within a short to medium term timeframe (five years).</w:t>
      </w:r>
    </w:p>
    <w:p w:rsidR="00F3005A" w:rsidRPr="00F3005A" w:rsidRDefault="00F3005A" w:rsidP="00F3005A">
      <w:pPr>
        <w:pStyle w:val="NormalWeb"/>
        <w:numPr>
          <w:ilvl w:val="0"/>
          <w:numId w:val="25"/>
        </w:numPr>
        <w:spacing w:line="276" w:lineRule="auto"/>
        <w:rPr>
          <w:rFonts w:ascii="Arial" w:hAnsi="Arial" w:cs="Arial"/>
          <w:color w:val="000000"/>
          <w:szCs w:val="22"/>
        </w:rPr>
      </w:pPr>
      <w:r w:rsidRPr="00F3005A">
        <w:rPr>
          <w:rFonts w:ascii="Arial" w:hAnsi="Arial" w:cs="Arial"/>
          <w:color w:val="000000"/>
          <w:szCs w:val="22"/>
        </w:rPr>
        <w:t>One-off events are not eligible. For example, a one-off seminar or thought leadership event would not be eligible unless it is part of a series of activities with an overarching development outcome.</w:t>
      </w:r>
    </w:p>
    <w:p w:rsidR="00F3005A" w:rsidRPr="00F3005A" w:rsidRDefault="00F3005A" w:rsidP="00F3005A">
      <w:pPr>
        <w:pStyle w:val="NormalWeb"/>
        <w:numPr>
          <w:ilvl w:val="0"/>
          <w:numId w:val="25"/>
        </w:numPr>
        <w:spacing w:line="276" w:lineRule="auto"/>
        <w:rPr>
          <w:rFonts w:ascii="Arial" w:hAnsi="Arial" w:cs="Arial"/>
          <w:color w:val="000000"/>
          <w:szCs w:val="22"/>
        </w:rPr>
      </w:pPr>
      <w:r w:rsidRPr="00F3005A">
        <w:rPr>
          <w:rFonts w:ascii="Arial" w:hAnsi="Arial" w:cs="Arial"/>
          <w:color w:val="000000"/>
          <w:szCs w:val="22"/>
        </w:rPr>
        <w:t xml:space="preserve">All applications must be made using the UK/Australia Season/COP26 application form template. Your application must include a completed budget template indicating how the grant will be spent. </w:t>
      </w:r>
    </w:p>
    <w:p w:rsidR="00F3005A" w:rsidRPr="00F3005A" w:rsidRDefault="00F3005A" w:rsidP="00F3005A">
      <w:pPr>
        <w:pStyle w:val="NormalWeb"/>
        <w:numPr>
          <w:ilvl w:val="0"/>
          <w:numId w:val="25"/>
        </w:numPr>
        <w:spacing w:line="276" w:lineRule="auto"/>
        <w:rPr>
          <w:rFonts w:ascii="Arial" w:hAnsi="Arial" w:cs="Arial"/>
          <w:color w:val="000000"/>
          <w:szCs w:val="22"/>
        </w:rPr>
      </w:pPr>
      <w:r w:rsidRPr="00F3005A">
        <w:rPr>
          <w:rFonts w:ascii="Arial" w:hAnsi="Arial" w:cs="Arial"/>
          <w:color w:val="000000"/>
          <w:szCs w:val="22"/>
        </w:rPr>
        <w:t>Each proposal must include one or more partners from the UK, Australia and an ODA-eligible country.</w:t>
      </w:r>
    </w:p>
    <w:p w:rsidR="00F3005A" w:rsidRPr="00F3005A" w:rsidRDefault="00F3005A" w:rsidP="00F3005A">
      <w:pPr>
        <w:pStyle w:val="NormalWeb"/>
        <w:numPr>
          <w:ilvl w:val="0"/>
          <w:numId w:val="25"/>
        </w:numPr>
        <w:spacing w:line="276" w:lineRule="auto"/>
        <w:rPr>
          <w:rFonts w:ascii="Arial" w:hAnsi="Arial" w:cs="Arial"/>
          <w:color w:val="000000"/>
          <w:szCs w:val="22"/>
        </w:rPr>
      </w:pPr>
      <w:r w:rsidRPr="00F3005A">
        <w:rPr>
          <w:rFonts w:ascii="Arial" w:hAnsi="Arial" w:cs="Arial"/>
          <w:szCs w:val="22"/>
        </w:rPr>
        <w:lastRenderedPageBreak/>
        <w:t>Each proposal must name one lead institution from either the UK or Australia which will receive the grant on behalf of the project team. The lead institution will be responsible for disbursement of the grant to the proposal partners.</w:t>
      </w:r>
    </w:p>
    <w:p w:rsidR="00F3005A" w:rsidRPr="00F3005A" w:rsidRDefault="00F3005A" w:rsidP="00F3005A">
      <w:pPr>
        <w:pStyle w:val="NormalWeb"/>
        <w:numPr>
          <w:ilvl w:val="0"/>
          <w:numId w:val="25"/>
        </w:numPr>
        <w:spacing w:line="276" w:lineRule="auto"/>
        <w:rPr>
          <w:rFonts w:ascii="Arial" w:hAnsi="Arial" w:cs="Arial"/>
          <w:color w:val="000000"/>
          <w:szCs w:val="22"/>
        </w:rPr>
      </w:pPr>
      <w:r w:rsidRPr="00F3005A">
        <w:rPr>
          <w:rFonts w:ascii="Arial" w:hAnsi="Arial" w:cs="Arial"/>
          <w:szCs w:val="22"/>
        </w:rPr>
        <w:t>Each proposal must name one Principal Applicant from the UK, one Principal Applicant from Australia and one Principle Applicant from an ODA eligible country.</w:t>
      </w:r>
    </w:p>
    <w:p w:rsidR="00F3005A" w:rsidRDefault="00F3005A" w:rsidP="00F3005A">
      <w:pPr>
        <w:pStyle w:val="NormalWeb"/>
        <w:numPr>
          <w:ilvl w:val="0"/>
          <w:numId w:val="25"/>
        </w:numPr>
        <w:spacing w:line="276" w:lineRule="auto"/>
        <w:rPr>
          <w:rFonts w:ascii="Arial" w:hAnsi="Arial" w:cs="Arial"/>
          <w:color w:val="000000"/>
          <w:sz w:val="22"/>
          <w:szCs w:val="22"/>
        </w:rPr>
      </w:pPr>
      <w:r>
        <w:rPr>
          <w:rFonts w:ascii="Arial" w:hAnsi="Arial" w:cs="Arial"/>
          <w:sz w:val="22"/>
          <w:szCs w:val="22"/>
        </w:rPr>
        <w:t xml:space="preserve">Principal Applicants must be permanent employees of a not-for-profit higher education institution in the UK, Australia and in the ODA eligible partner country. </w:t>
      </w:r>
    </w:p>
    <w:p w:rsidR="00F3005A" w:rsidRPr="001A742E" w:rsidRDefault="00F3005A" w:rsidP="00F3005A">
      <w:pPr>
        <w:pStyle w:val="NormalWeb"/>
        <w:numPr>
          <w:ilvl w:val="0"/>
          <w:numId w:val="25"/>
        </w:numPr>
        <w:spacing w:line="276" w:lineRule="auto"/>
        <w:rPr>
          <w:rFonts w:ascii="Arial" w:hAnsi="Arial" w:cs="Arial"/>
          <w:color w:val="000000"/>
          <w:sz w:val="22"/>
          <w:szCs w:val="22"/>
        </w:rPr>
      </w:pPr>
      <w:r w:rsidRPr="001A742E">
        <w:rPr>
          <w:rFonts w:ascii="Arial" w:hAnsi="Arial" w:cs="Arial"/>
          <w:sz w:val="22"/>
          <w:szCs w:val="22"/>
        </w:rPr>
        <w:t>Principal Applicants may only submit one application for this grant.</w:t>
      </w:r>
    </w:p>
    <w:p w:rsidR="00F3005A" w:rsidRPr="00FE182B" w:rsidRDefault="00F3005A" w:rsidP="00F3005A">
      <w:pPr>
        <w:pStyle w:val="NormalWeb"/>
        <w:numPr>
          <w:ilvl w:val="0"/>
          <w:numId w:val="25"/>
        </w:numPr>
        <w:spacing w:line="276" w:lineRule="auto"/>
        <w:rPr>
          <w:rFonts w:ascii="Arial" w:hAnsi="Arial" w:cs="Arial"/>
          <w:color w:val="000000"/>
          <w:sz w:val="22"/>
          <w:szCs w:val="22"/>
        </w:rPr>
      </w:pPr>
      <w:r w:rsidRPr="001A742E">
        <w:rPr>
          <w:rFonts w:ascii="Arial" w:hAnsi="Arial" w:cs="Arial"/>
          <w:sz w:val="22"/>
          <w:szCs w:val="22"/>
        </w:rPr>
        <w:t>Applicants may be asked to adjust their budget if their request does not fit within funding guidelines. Advance payment of will be made on signature of the grant agreement.</w:t>
      </w:r>
    </w:p>
    <w:p w:rsidR="00F3005A" w:rsidRPr="001A742E" w:rsidRDefault="00F3005A" w:rsidP="00F3005A">
      <w:pPr>
        <w:pStyle w:val="NormalWeb"/>
        <w:numPr>
          <w:ilvl w:val="0"/>
          <w:numId w:val="25"/>
        </w:numPr>
        <w:spacing w:line="276" w:lineRule="auto"/>
        <w:rPr>
          <w:rFonts w:ascii="Arial" w:hAnsi="Arial" w:cs="Arial"/>
          <w:color w:val="000000"/>
          <w:sz w:val="22"/>
          <w:szCs w:val="22"/>
        </w:rPr>
      </w:pPr>
      <w:r>
        <w:rPr>
          <w:rFonts w:ascii="Arial" w:hAnsi="Arial" w:cs="Arial"/>
          <w:sz w:val="22"/>
          <w:szCs w:val="22"/>
        </w:rPr>
        <w:t>Successful applicants will be expected to complete a project evaluation report upon completion of the project.</w:t>
      </w:r>
    </w:p>
    <w:p w:rsidR="00F3005A" w:rsidRPr="001A742E" w:rsidRDefault="00F3005A" w:rsidP="00F3005A">
      <w:pPr>
        <w:pStyle w:val="HeadingB"/>
      </w:pPr>
      <w:r w:rsidRPr="001A742E">
        <w:t>Eligible costs</w:t>
      </w:r>
    </w:p>
    <w:p w:rsidR="00F3005A" w:rsidRPr="001A742E" w:rsidRDefault="00F3005A" w:rsidP="00F3005A">
      <w:pPr>
        <w:rPr>
          <w:rFonts w:cs="Arial"/>
        </w:rPr>
      </w:pPr>
      <w:r w:rsidRPr="001A742E">
        <w:rPr>
          <w:rFonts w:cs="Arial"/>
        </w:rPr>
        <w:t>The budget requested in your proposal (including human resource costs) should cover only costs that are essential, appropriate and relevant to the collaboration. The proposal should maximise cost share through direct and indirect institutional contributions</w:t>
      </w:r>
      <w:r>
        <w:rPr>
          <w:rFonts w:cs="Arial"/>
        </w:rPr>
        <w:t>.</w:t>
      </w:r>
    </w:p>
    <w:tbl>
      <w:tblPr>
        <w:tblStyle w:val="GridTable4-Accent6"/>
        <w:tblW w:w="0" w:type="auto"/>
        <w:tblLook w:val="04A0" w:firstRow="1" w:lastRow="0" w:firstColumn="1" w:lastColumn="0" w:noHBand="0" w:noVBand="1"/>
      </w:tblPr>
      <w:tblGrid>
        <w:gridCol w:w="4508"/>
        <w:gridCol w:w="5410"/>
      </w:tblGrid>
      <w:tr w:rsidR="00F3005A" w:rsidRPr="001A742E" w:rsidTr="00F300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005A" w:rsidRPr="00F3005A" w:rsidRDefault="00F3005A" w:rsidP="00FA0AC6">
            <w:pPr>
              <w:rPr>
                <w:rFonts w:cs="Arial"/>
                <w:b w:val="0"/>
                <w:bCs w:val="0"/>
                <w:color w:val="auto"/>
              </w:rPr>
            </w:pPr>
            <w:r w:rsidRPr="00F3005A">
              <w:rPr>
                <w:rFonts w:cs="Arial"/>
                <w:color w:val="auto"/>
              </w:rPr>
              <w:t>Cost</w:t>
            </w:r>
          </w:p>
        </w:tc>
        <w:tc>
          <w:tcPr>
            <w:tcW w:w="5410" w:type="dxa"/>
          </w:tcPr>
          <w:p w:rsidR="00F3005A" w:rsidRPr="00F3005A" w:rsidRDefault="00F3005A" w:rsidP="00FA0AC6">
            <w:pPr>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F3005A">
              <w:rPr>
                <w:rFonts w:cs="Arial"/>
                <w:color w:val="auto"/>
              </w:rPr>
              <w:t>Notes</w:t>
            </w:r>
          </w:p>
        </w:tc>
      </w:tr>
      <w:tr w:rsidR="00F3005A" w:rsidRPr="001A742E" w:rsidTr="00F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005A" w:rsidRPr="001A742E" w:rsidRDefault="00F3005A" w:rsidP="00FA0AC6">
            <w:pPr>
              <w:rPr>
                <w:rFonts w:cs="Arial"/>
                <w:b w:val="0"/>
                <w:bCs w:val="0"/>
              </w:rPr>
            </w:pPr>
            <w:r w:rsidRPr="001A742E">
              <w:rPr>
                <w:rFonts w:cs="Arial"/>
              </w:rPr>
              <w:t xml:space="preserve">Staff costs </w:t>
            </w:r>
          </w:p>
          <w:p w:rsidR="00F3005A" w:rsidRPr="001A742E" w:rsidRDefault="00F3005A" w:rsidP="00FA0AC6">
            <w:pPr>
              <w:rPr>
                <w:rFonts w:cs="Arial"/>
              </w:rPr>
            </w:pPr>
            <w:r w:rsidRPr="001A742E">
              <w:rPr>
                <w:rFonts w:cs="Arial"/>
              </w:rPr>
              <w:t>for personnel working directly on the grant funded project: salaries and fees of temporary research and research assistant personnel, and other staff recruited to work solely on the project.</w:t>
            </w:r>
          </w:p>
          <w:p w:rsidR="00F3005A" w:rsidRPr="001A742E" w:rsidRDefault="00F3005A" w:rsidP="00FA0AC6">
            <w:pPr>
              <w:rPr>
                <w:rFonts w:cs="Arial"/>
              </w:rPr>
            </w:pPr>
          </w:p>
        </w:tc>
        <w:tc>
          <w:tcPr>
            <w:tcW w:w="5410" w:type="dxa"/>
          </w:tcPr>
          <w:p w:rsidR="00F3005A" w:rsidRPr="001A742E" w:rsidRDefault="00F3005A" w:rsidP="00FA0AC6">
            <w:pPr>
              <w:cnfStyle w:val="000000100000" w:firstRow="0" w:lastRow="0" w:firstColumn="0" w:lastColumn="0" w:oddVBand="0" w:evenVBand="0" w:oddHBand="1" w:evenHBand="0" w:firstRowFirstColumn="0" w:firstRowLastColumn="0" w:lastRowFirstColumn="0" w:lastRowLastColumn="0"/>
              <w:rPr>
                <w:rFonts w:cs="Arial"/>
              </w:rPr>
            </w:pPr>
            <w:r w:rsidRPr="001A742E">
              <w:rPr>
                <w:rFonts w:cs="Arial"/>
              </w:rPr>
              <w:t>This includes on -costs such as superannuation, and national insurance payments. Indirect costs cannot be covered and are assumed to be contributed by the principal institutions</w:t>
            </w:r>
          </w:p>
          <w:p w:rsidR="00F3005A" w:rsidRPr="001A742E" w:rsidRDefault="00F3005A" w:rsidP="00FA0AC6">
            <w:pPr>
              <w:cnfStyle w:val="000000100000" w:firstRow="0" w:lastRow="0" w:firstColumn="0" w:lastColumn="0" w:oddVBand="0" w:evenVBand="0" w:oddHBand="1" w:evenHBand="0" w:firstRowFirstColumn="0" w:firstRowLastColumn="0" w:lastRowFirstColumn="0" w:lastRowLastColumn="0"/>
              <w:rPr>
                <w:rFonts w:cs="Arial"/>
              </w:rPr>
            </w:pPr>
          </w:p>
          <w:p w:rsidR="00F3005A" w:rsidRPr="001A742E" w:rsidRDefault="00F3005A" w:rsidP="00FA0AC6">
            <w:pPr>
              <w:cnfStyle w:val="000000100000" w:firstRow="0" w:lastRow="0" w:firstColumn="0" w:lastColumn="0" w:oddVBand="0" w:evenVBand="0" w:oddHBand="1" w:evenHBand="0" w:firstRowFirstColumn="0" w:firstRowLastColumn="0" w:lastRowFirstColumn="0" w:lastRowLastColumn="0"/>
              <w:rPr>
                <w:rFonts w:cs="Arial"/>
              </w:rPr>
            </w:pPr>
            <w:r w:rsidRPr="001A742E">
              <w:rPr>
                <w:rFonts w:cs="Arial"/>
              </w:rPr>
              <w:t>A proportion of staff costs for permanently employed staff of lead institutions.</w:t>
            </w:r>
          </w:p>
          <w:p w:rsidR="00F3005A" w:rsidRPr="001A742E" w:rsidRDefault="00F3005A" w:rsidP="00FA0AC6">
            <w:pPr>
              <w:cnfStyle w:val="000000100000" w:firstRow="0" w:lastRow="0" w:firstColumn="0" w:lastColumn="0" w:oddVBand="0" w:evenVBand="0" w:oddHBand="1" w:evenHBand="0" w:firstRowFirstColumn="0" w:firstRowLastColumn="0" w:lastRowFirstColumn="0" w:lastRowLastColumn="0"/>
              <w:rPr>
                <w:rFonts w:cs="Arial"/>
              </w:rPr>
            </w:pPr>
            <w:r w:rsidRPr="001A742E">
              <w:rPr>
                <w:rFonts w:cs="Arial"/>
              </w:rPr>
              <w:t>This includes on costs such as superannuation, and national insurance payments.</w:t>
            </w:r>
          </w:p>
          <w:p w:rsidR="00F3005A" w:rsidRPr="001A742E" w:rsidRDefault="00F3005A" w:rsidP="00FA0AC6">
            <w:pPr>
              <w:cnfStyle w:val="000000100000" w:firstRow="0" w:lastRow="0" w:firstColumn="0" w:lastColumn="0" w:oddVBand="0" w:evenVBand="0" w:oddHBand="1" w:evenHBand="0" w:firstRowFirstColumn="0" w:firstRowLastColumn="0" w:lastRowFirstColumn="0" w:lastRowLastColumn="0"/>
              <w:rPr>
                <w:rFonts w:cs="Arial"/>
              </w:rPr>
            </w:pPr>
          </w:p>
        </w:tc>
      </w:tr>
      <w:tr w:rsidR="00F3005A" w:rsidRPr="001A742E" w:rsidTr="00F3005A">
        <w:tc>
          <w:tcPr>
            <w:cnfStyle w:val="001000000000" w:firstRow="0" w:lastRow="0" w:firstColumn="1" w:lastColumn="0" w:oddVBand="0" w:evenVBand="0" w:oddHBand="0" w:evenHBand="0" w:firstRowFirstColumn="0" w:firstRowLastColumn="0" w:lastRowFirstColumn="0" w:lastRowLastColumn="0"/>
            <w:tcW w:w="4508" w:type="dxa"/>
          </w:tcPr>
          <w:p w:rsidR="00F3005A" w:rsidRPr="001A742E" w:rsidRDefault="00F3005A" w:rsidP="00FA0AC6">
            <w:pPr>
              <w:rPr>
                <w:rFonts w:cs="Arial"/>
                <w:b w:val="0"/>
                <w:bCs w:val="0"/>
              </w:rPr>
            </w:pPr>
            <w:r w:rsidRPr="001A742E">
              <w:rPr>
                <w:rFonts w:cs="Arial"/>
              </w:rPr>
              <w:t xml:space="preserve">Essential equipment </w:t>
            </w:r>
          </w:p>
          <w:p w:rsidR="00F3005A" w:rsidRPr="001A742E" w:rsidRDefault="00F3005A" w:rsidP="00FA0AC6">
            <w:pPr>
              <w:rPr>
                <w:rFonts w:cs="Arial"/>
              </w:rPr>
            </w:pPr>
            <w:r w:rsidRPr="001A742E">
              <w:rPr>
                <w:rFonts w:cs="Arial"/>
              </w:rPr>
              <w:t>for use on the project including consumables. Specialist software licences essential to the collaboration. Access fees to facilities or library services.</w:t>
            </w:r>
          </w:p>
          <w:p w:rsidR="00F3005A" w:rsidRPr="001A742E" w:rsidRDefault="00F3005A" w:rsidP="00FA0AC6">
            <w:pPr>
              <w:rPr>
                <w:rFonts w:cs="Arial"/>
              </w:rPr>
            </w:pPr>
          </w:p>
        </w:tc>
        <w:tc>
          <w:tcPr>
            <w:tcW w:w="5410" w:type="dxa"/>
          </w:tcPr>
          <w:p w:rsidR="00F3005A" w:rsidRPr="001A742E" w:rsidRDefault="00F3005A" w:rsidP="00FA0AC6">
            <w:pPr>
              <w:cnfStyle w:val="000000000000" w:firstRow="0" w:lastRow="0" w:firstColumn="0" w:lastColumn="0" w:oddVBand="0" w:evenVBand="0" w:oddHBand="0" w:evenHBand="0" w:firstRowFirstColumn="0" w:firstRowLastColumn="0" w:lastRowFirstColumn="0" w:lastRowLastColumn="0"/>
              <w:rPr>
                <w:rFonts w:cs="Arial"/>
              </w:rPr>
            </w:pPr>
            <w:r w:rsidRPr="001A742E">
              <w:rPr>
                <w:rFonts w:cs="Arial"/>
              </w:rPr>
              <w:t xml:space="preserve">Equipment must be essential to delivery of the project and cannot be expected to be provided by institutions </w:t>
            </w:r>
          </w:p>
          <w:p w:rsidR="00F3005A" w:rsidRPr="001A742E" w:rsidRDefault="00F3005A" w:rsidP="00FA0AC6">
            <w:pPr>
              <w:cnfStyle w:val="000000000000" w:firstRow="0" w:lastRow="0" w:firstColumn="0" w:lastColumn="0" w:oddVBand="0" w:evenVBand="0" w:oddHBand="0" w:evenHBand="0" w:firstRowFirstColumn="0" w:firstRowLastColumn="0" w:lastRowFirstColumn="0" w:lastRowLastColumn="0"/>
              <w:rPr>
                <w:rFonts w:cs="Arial"/>
                <w:b/>
                <w:bCs/>
              </w:rPr>
            </w:pPr>
            <w:r w:rsidRPr="001A742E">
              <w:rPr>
                <w:rFonts w:cs="Arial"/>
                <w:b/>
                <w:bCs/>
              </w:rPr>
              <w:t>Equipment must be used in the recipient ODA country and will remain there on project completion.</w:t>
            </w:r>
          </w:p>
          <w:p w:rsidR="00F3005A" w:rsidRPr="001A742E" w:rsidRDefault="00F3005A" w:rsidP="00FA0AC6">
            <w:pPr>
              <w:cnfStyle w:val="000000000000" w:firstRow="0" w:lastRow="0" w:firstColumn="0" w:lastColumn="0" w:oddVBand="0" w:evenVBand="0" w:oddHBand="0" w:evenHBand="0" w:firstRowFirstColumn="0" w:firstRowLastColumn="0" w:lastRowFirstColumn="0" w:lastRowLastColumn="0"/>
              <w:rPr>
                <w:rFonts w:cs="Arial"/>
              </w:rPr>
            </w:pPr>
          </w:p>
        </w:tc>
      </w:tr>
      <w:tr w:rsidR="00F3005A" w:rsidRPr="001A742E" w:rsidTr="00F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005A" w:rsidRPr="001A742E" w:rsidRDefault="00F3005A" w:rsidP="00FA0AC6">
            <w:pPr>
              <w:rPr>
                <w:rFonts w:cs="Arial"/>
                <w:b w:val="0"/>
                <w:bCs w:val="0"/>
              </w:rPr>
            </w:pPr>
            <w:r w:rsidRPr="001A742E">
              <w:rPr>
                <w:rFonts w:cs="Arial"/>
              </w:rPr>
              <w:t xml:space="preserve">Travel </w:t>
            </w:r>
          </w:p>
          <w:p w:rsidR="00F3005A" w:rsidRPr="001A742E" w:rsidRDefault="00F3005A" w:rsidP="00FA0AC6">
            <w:pPr>
              <w:rPr>
                <w:rFonts w:cs="Arial"/>
              </w:rPr>
            </w:pPr>
            <w:r w:rsidRPr="001A742E">
              <w:rPr>
                <w:rFonts w:cs="Arial"/>
              </w:rPr>
              <w:t xml:space="preserve">Travel fares (economy class) and subsistence costs to the UK/Australia and partner countries. </w:t>
            </w:r>
            <w:r w:rsidRPr="001A742E">
              <w:rPr>
                <w:rFonts w:cs="Arial"/>
              </w:rPr>
              <w:lastRenderedPageBreak/>
              <w:t xml:space="preserve">Visa fees, vaccinations and medical insurance for travel essential to the project, to the UK, Australia and partner countries. </w:t>
            </w:r>
          </w:p>
          <w:p w:rsidR="00F3005A" w:rsidRPr="001A742E" w:rsidRDefault="00F3005A" w:rsidP="00FA0AC6">
            <w:pPr>
              <w:rPr>
                <w:rFonts w:cs="Arial"/>
              </w:rPr>
            </w:pPr>
          </w:p>
        </w:tc>
        <w:tc>
          <w:tcPr>
            <w:tcW w:w="5410" w:type="dxa"/>
          </w:tcPr>
          <w:p w:rsidR="00F3005A" w:rsidRPr="001A742E" w:rsidRDefault="00F3005A" w:rsidP="00FA0AC6">
            <w:pPr>
              <w:cnfStyle w:val="000000100000" w:firstRow="0" w:lastRow="0" w:firstColumn="0" w:lastColumn="0" w:oddVBand="0" w:evenVBand="0" w:oddHBand="1" w:evenHBand="0" w:firstRowFirstColumn="0" w:firstRowLastColumn="0" w:lastRowFirstColumn="0" w:lastRowLastColumn="0"/>
              <w:rPr>
                <w:rFonts w:cs="Arial"/>
              </w:rPr>
            </w:pPr>
          </w:p>
        </w:tc>
      </w:tr>
      <w:tr w:rsidR="00F3005A" w:rsidRPr="001A742E" w:rsidTr="00F3005A">
        <w:tc>
          <w:tcPr>
            <w:cnfStyle w:val="001000000000" w:firstRow="0" w:lastRow="0" w:firstColumn="1" w:lastColumn="0" w:oddVBand="0" w:evenVBand="0" w:oddHBand="0" w:evenHBand="0" w:firstRowFirstColumn="0" w:firstRowLastColumn="0" w:lastRowFirstColumn="0" w:lastRowLastColumn="0"/>
            <w:tcW w:w="4508" w:type="dxa"/>
          </w:tcPr>
          <w:p w:rsidR="00F3005A" w:rsidRPr="001A742E" w:rsidRDefault="00F3005A" w:rsidP="00FA0AC6">
            <w:pPr>
              <w:rPr>
                <w:rFonts w:cs="Arial"/>
              </w:rPr>
            </w:pPr>
            <w:r w:rsidRPr="001A742E">
              <w:rPr>
                <w:rFonts w:cs="Arial"/>
              </w:rPr>
              <w:t>Costs of meetings, training events and seminars integral to the proposal.</w:t>
            </w:r>
          </w:p>
        </w:tc>
        <w:tc>
          <w:tcPr>
            <w:tcW w:w="5410" w:type="dxa"/>
          </w:tcPr>
          <w:p w:rsidR="00F3005A" w:rsidRPr="001A742E" w:rsidRDefault="00F3005A" w:rsidP="00FA0AC6">
            <w:pPr>
              <w:cnfStyle w:val="000000000000" w:firstRow="0" w:lastRow="0" w:firstColumn="0" w:lastColumn="0" w:oddVBand="0" w:evenVBand="0" w:oddHBand="0" w:evenHBand="0" w:firstRowFirstColumn="0" w:firstRowLastColumn="0" w:lastRowFirstColumn="0" w:lastRowLastColumn="0"/>
              <w:rPr>
                <w:rFonts w:cs="Arial"/>
              </w:rPr>
            </w:pPr>
          </w:p>
        </w:tc>
      </w:tr>
      <w:tr w:rsidR="00F3005A" w:rsidRPr="001A742E" w:rsidTr="00F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005A" w:rsidRPr="001A742E" w:rsidRDefault="00F3005A" w:rsidP="00FA0AC6">
            <w:pPr>
              <w:rPr>
                <w:rFonts w:cs="Arial"/>
              </w:rPr>
            </w:pPr>
            <w:r w:rsidRPr="001A742E">
              <w:rPr>
                <w:rFonts w:cs="Arial"/>
              </w:rPr>
              <w:t xml:space="preserve">Publication costs directly related to the collaboration. </w:t>
            </w:r>
          </w:p>
          <w:p w:rsidR="00F3005A" w:rsidRPr="001A742E" w:rsidRDefault="00F3005A" w:rsidP="00FA0AC6">
            <w:pPr>
              <w:rPr>
                <w:rFonts w:cs="Arial"/>
              </w:rPr>
            </w:pPr>
          </w:p>
        </w:tc>
        <w:tc>
          <w:tcPr>
            <w:tcW w:w="5410" w:type="dxa"/>
          </w:tcPr>
          <w:p w:rsidR="00F3005A" w:rsidRPr="001A742E" w:rsidRDefault="00F3005A" w:rsidP="00FA0AC6">
            <w:pPr>
              <w:cnfStyle w:val="000000100000" w:firstRow="0" w:lastRow="0" w:firstColumn="0" w:lastColumn="0" w:oddVBand="0" w:evenVBand="0" w:oddHBand="1" w:evenHBand="0" w:firstRowFirstColumn="0" w:firstRowLastColumn="0" w:lastRowFirstColumn="0" w:lastRowLastColumn="0"/>
              <w:rPr>
                <w:rFonts w:cs="Arial"/>
              </w:rPr>
            </w:pPr>
            <w:r w:rsidRPr="001A742E">
              <w:rPr>
                <w:rFonts w:cs="Arial"/>
              </w:rPr>
              <w:t>This includes web page development by external providers, if appropriate. We particularly encourage open access publishing. Use of telecommunications such as video / audio / web conferencing.</w:t>
            </w:r>
          </w:p>
          <w:p w:rsidR="00F3005A" w:rsidRPr="001A742E" w:rsidRDefault="00F3005A" w:rsidP="00FA0AC6">
            <w:pPr>
              <w:cnfStyle w:val="000000100000" w:firstRow="0" w:lastRow="0" w:firstColumn="0" w:lastColumn="0" w:oddVBand="0" w:evenVBand="0" w:oddHBand="1" w:evenHBand="0" w:firstRowFirstColumn="0" w:firstRowLastColumn="0" w:lastRowFirstColumn="0" w:lastRowLastColumn="0"/>
              <w:rPr>
                <w:rFonts w:cs="Arial"/>
              </w:rPr>
            </w:pPr>
          </w:p>
        </w:tc>
      </w:tr>
    </w:tbl>
    <w:p w:rsidR="00F3005A" w:rsidRPr="001A742E" w:rsidRDefault="00F3005A" w:rsidP="00F3005A">
      <w:pPr>
        <w:pStyle w:val="HeadingB"/>
      </w:pPr>
      <w:r w:rsidRPr="001A742E">
        <w:t>Ineligible costs</w:t>
      </w:r>
    </w:p>
    <w:tbl>
      <w:tblPr>
        <w:tblStyle w:val="GridTable4-Accent6"/>
        <w:tblW w:w="0" w:type="auto"/>
        <w:tblLook w:val="04A0" w:firstRow="1" w:lastRow="0" w:firstColumn="1" w:lastColumn="0" w:noHBand="0" w:noVBand="1"/>
      </w:tblPr>
      <w:tblGrid>
        <w:gridCol w:w="4508"/>
        <w:gridCol w:w="5552"/>
      </w:tblGrid>
      <w:tr w:rsidR="00F3005A" w:rsidRPr="001A742E" w:rsidTr="00F300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005A" w:rsidRPr="00F3005A" w:rsidRDefault="00F3005A" w:rsidP="00FA0AC6">
            <w:pPr>
              <w:rPr>
                <w:rFonts w:cs="Arial"/>
                <w:b w:val="0"/>
                <w:bCs w:val="0"/>
                <w:color w:val="auto"/>
              </w:rPr>
            </w:pPr>
            <w:r w:rsidRPr="00F3005A">
              <w:rPr>
                <w:rFonts w:cs="Arial"/>
                <w:color w:val="auto"/>
              </w:rPr>
              <w:t>Costs</w:t>
            </w:r>
          </w:p>
        </w:tc>
        <w:tc>
          <w:tcPr>
            <w:tcW w:w="5552" w:type="dxa"/>
          </w:tcPr>
          <w:p w:rsidR="00F3005A" w:rsidRPr="00F3005A" w:rsidRDefault="00F3005A" w:rsidP="00FA0AC6">
            <w:pPr>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F3005A">
              <w:rPr>
                <w:rFonts w:cs="Arial"/>
                <w:color w:val="auto"/>
              </w:rPr>
              <w:t>Notes</w:t>
            </w:r>
          </w:p>
        </w:tc>
      </w:tr>
      <w:tr w:rsidR="00F3005A" w:rsidRPr="001A742E" w:rsidTr="00F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005A" w:rsidRPr="001A742E" w:rsidRDefault="00F3005A" w:rsidP="00FA0AC6">
            <w:pPr>
              <w:rPr>
                <w:rFonts w:cs="Arial"/>
                <w:b w:val="0"/>
                <w:bCs w:val="0"/>
              </w:rPr>
            </w:pPr>
            <w:r w:rsidRPr="001A742E">
              <w:rPr>
                <w:rFonts w:cs="Arial"/>
              </w:rPr>
              <w:t xml:space="preserve">Full economic costs (FECs). </w:t>
            </w:r>
          </w:p>
          <w:p w:rsidR="00F3005A" w:rsidRPr="001A742E" w:rsidRDefault="00F3005A" w:rsidP="00FA0AC6">
            <w:pPr>
              <w:rPr>
                <w:rFonts w:cs="Arial"/>
              </w:rPr>
            </w:pPr>
          </w:p>
        </w:tc>
        <w:tc>
          <w:tcPr>
            <w:tcW w:w="5552" w:type="dxa"/>
          </w:tcPr>
          <w:p w:rsidR="00F3005A" w:rsidRPr="001A742E" w:rsidRDefault="00F3005A" w:rsidP="00FA0AC6">
            <w:pPr>
              <w:cnfStyle w:val="000000100000" w:firstRow="0" w:lastRow="0" w:firstColumn="0" w:lastColumn="0" w:oddVBand="0" w:evenVBand="0" w:oddHBand="1" w:evenHBand="0" w:firstRowFirstColumn="0" w:firstRowLastColumn="0" w:lastRowFirstColumn="0" w:lastRowLastColumn="0"/>
              <w:rPr>
                <w:rFonts w:cs="Arial"/>
              </w:rPr>
            </w:pPr>
          </w:p>
        </w:tc>
      </w:tr>
      <w:tr w:rsidR="00F3005A" w:rsidRPr="001A742E" w:rsidTr="00F3005A">
        <w:tc>
          <w:tcPr>
            <w:cnfStyle w:val="001000000000" w:firstRow="0" w:lastRow="0" w:firstColumn="1" w:lastColumn="0" w:oddVBand="0" w:evenVBand="0" w:oddHBand="0" w:evenHBand="0" w:firstRowFirstColumn="0" w:firstRowLastColumn="0" w:lastRowFirstColumn="0" w:lastRowLastColumn="0"/>
            <w:tcW w:w="4508" w:type="dxa"/>
          </w:tcPr>
          <w:p w:rsidR="00F3005A" w:rsidRPr="001A742E" w:rsidRDefault="00F3005A" w:rsidP="00FA0AC6">
            <w:pPr>
              <w:rPr>
                <w:rFonts w:cs="Arial"/>
                <w:b w:val="0"/>
                <w:bCs w:val="0"/>
              </w:rPr>
            </w:pPr>
            <w:r w:rsidRPr="001A742E">
              <w:rPr>
                <w:rFonts w:cs="Arial"/>
              </w:rPr>
              <w:t>Institutional overheads</w:t>
            </w:r>
          </w:p>
        </w:tc>
        <w:tc>
          <w:tcPr>
            <w:tcW w:w="5552" w:type="dxa"/>
          </w:tcPr>
          <w:p w:rsidR="00F3005A" w:rsidRPr="001A742E" w:rsidRDefault="00F3005A" w:rsidP="00FA0AC6">
            <w:pPr>
              <w:cnfStyle w:val="000000000000" w:firstRow="0" w:lastRow="0" w:firstColumn="0" w:lastColumn="0" w:oddVBand="0" w:evenVBand="0" w:oddHBand="0" w:evenHBand="0" w:firstRowFirstColumn="0" w:firstRowLastColumn="0" w:lastRowFirstColumn="0" w:lastRowLastColumn="0"/>
              <w:rPr>
                <w:rFonts w:cs="Arial"/>
              </w:rPr>
            </w:pPr>
            <w:r w:rsidRPr="001A742E">
              <w:rPr>
                <w:rFonts w:cs="Arial"/>
              </w:rPr>
              <w:t xml:space="preserve">including administration fees and other indirect costs. </w:t>
            </w:r>
          </w:p>
          <w:p w:rsidR="00F3005A" w:rsidRPr="001A742E" w:rsidRDefault="00F3005A" w:rsidP="00FA0AC6">
            <w:pPr>
              <w:cnfStyle w:val="000000000000" w:firstRow="0" w:lastRow="0" w:firstColumn="0" w:lastColumn="0" w:oddVBand="0" w:evenVBand="0" w:oddHBand="0" w:evenHBand="0" w:firstRowFirstColumn="0" w:firstRowLastColumn="0" w:lastRowFirstColumn="0" w:lastRowLastColumn="0"/>
              <w:rPr>
                <w:rFonts w:cs="Arial"/>
              </w:rPr>
            </w:pPr>
          </w:p>
        </w:tc>
      </w:tr>
      <w:tr w:rsidR="00F3005A" w:rsidRPr="001A742E" w:rsidTr="00F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005A" w:rsidRPr="001A742E" w:rsidRDefault="00F3005A" w:rsidP="00FA0AC6">
            <w:pPr>
              <w:rPr>
                <w:rFonts w:cs="Arial"/>
              </w:rPr>
            </w:pPr>
            <w:r w:rsidRPr="001A742E">
              <w:rPr>
                <w:rFonts w:cs="Arial"/>
              </w:rPr>
              <w:t xml:space="preserve">Purchase or rental of standard office equipment (except specialist equipment essential to the research). This includes: </w:t>
            </w:r>
          </w:p>
          <w:p w:rsidR="00F3005A" w:rsidRPr="001A742E" w:rsidRDefault="00F3005A" w:rsidP="00FA0AC6">
            <w:pPr>
              <w:rPr>
                <w:rFonts w:cs="Arial"/>
              </w:rPr>
            </w:pPr>
          </w:p>
        </w:tc>
        <w:tc>
          <w:tcPr>
            <w:tcW w:w="5552" w:type="dxa"/>
          </w:tcPr>
          <w:p w:rsidR="00F3005A" w:rsidRPr="001A742E" w:rsidRDefault="00F3005A" w:rsidP="00FA0AC6">
            <w:pPr>
              <w:cnfStyle w:val="000000100000" w:firstRow="0" w:lastRow="0" w:firstColumn="0" w:lastColumn="0" w:oddVBand="0" w:evenVBand="0" w:oddHBand="1" w:evenHBand="0" w:firstRowFirstColumn="0" w:firstRowLastColumn="0" w:lastRowFirstColumn="0" w:lastRowLastColumn="0"/>
              <w:rPr>
                <w:rFonts w:cs="Arial"/>
              </w:rPr>
            </w:pPr>
            <w:r w:rsidRPr="001A742E">
              <w:rPr>
                <w:rFonts w:cs="Arial"/>
              </w:rPr>
              <w:t xml:space="preserve">IT hardware – laptops, personal computers, tablets, smart phones, Mac workstations, computer parts and peripherals, etc. Any standard hardware which would routinely be used by researchers and academics will not be funded. </w:t>
            </w:r>
          </w:p>
          <w:p w:rsidR="00F3005A" w:rsidRPr="001A742E" w:rsidRDefault="00F3005A" w:rsidP="00FA0AC6">
            <w:pPr>
              <w:cnfStyle w:val="000000100000" w:firstRow="0" w:lastRow="0" w:firstColumn="0" w:lastColumn="0" w:oddVBand="0" w:evenVBand="0" w:oddHBand="1" w:evenHBand="0" w:firstRowFirstColumn="0" w:firstRowLastColumn="0" w:lastRowFirstColumn="0" w:lastRowLastColumn="0"/>
              <w:rPr>
                <w:rFonts w:cs="Arial"/>
              </w:rPr>
            </w:pPr>
          </w:p>
        </w:tc>
      </w:tr>
      <w:tr w:rsidR="00F3005A" w:rsidRPr="001A742E" w:rsidTr="00F3005A">
        <w:tc>
          <w:tcPr>
            <w:cnfStyle w:val="001000000000" w:firstRow="0" w:lastRow="0" w:firstColumn="1" w:lastColumn="0" w:oddVBand="0" w:evenVBand="0" w:oddHBand="0" w:evenHBand="0" w:firstRowFirstColumn="0" w:firstRowLastColumn="0" w:lastRowFirstColumn="0" w:lastRowLastColumn="0"/>
            <w:tcW w:w="4508" w:type="dxa"/>
          </w:tcPr>
          <w:p w:rsidR="00F3005A" w:rsidRPr="001A742E" w:rsidRDefault="00F3005A" w:rsidP="00FA0AC6">
            <w:pPr>
              <w:rPr>
                <w:rFonts w:cs="Arial"/>
                <w:b w:val="0"/>
                <w:bCs w:val="0"/>
              </w:rPr>
            </w:pPr>
            <w:r w:rsidRPr="001A742E">
              <w:rPr>
                <w:rFonts w:cs="Arial"/>
              </w:rPr>
              <w:t>Office software</w:t>
            </w:r>
          </w:p>
        </w:tc>
        <w:tc>
          <w:tcPr>
            <w:tcW w:w="5552" w:type="dxa"/>
          </w:tcPr>
          <w:p w:rsidR="00F3005A" w:rsidRPr="001A742E" w:rsidRDefault="00F3005A" w:rsidP="00FA0AC6">
            <w:pPr>
              <w:cnfStyle w:val="000000000000" w:firstRow="0" w:lastRow="0" w:firstColumn="0" w:lastColumn="0" w:oddVBand="0" w:evenVBand="0" w:oddHBand="0" w:evenHBand="0" w:firstRowFirstColumn="0" w:firstRowLastColumn="0" w:lastRowFirstColumn="0" w:lastRowLastColumn="0"/>
              <w:rPr>
                <w:rFonts w:cs="Arial"/>
              </w:rPr>
            </w:pPr>
          </w:p>
        </w:tc>
      </w:tr>
      <w:tr w:rsidR="00F3005A" w:rsidRPr="001A742E" w:rsidTr="00F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005A" w:rsidRPr="001A742E" w:rsidRDefault="00F3005A" w:rsidP="00FA0AC6">
            <w:pPr>
              <w:rPr>
                <w:rFonts w:cs="Arial"/>
                <w:b w:val="0"/>
                <w:bCs w:val="0"/>
              </w:rPr>
            </w:pPr>
            <w:r w:rsidRPr="001A742E">
              <w:rPr>
                <w:rFonts w:cs="Arial"/>
              </w:rPr>
              <w:t>Office equipment</w:t>
            </w:r>
          </w:p>
        </w:tc>
        <w:tc>
          <w:tcPr>
            <w:tcW w:w="5552" w:type="dxa"/>
          </w:tcPr>
          <w:p w:rsidR="00F3005A" w:rsidRPr="001A742E" w:rsidRDefault="00F3005A" w:rsidP="00FA0AC6">
            <w:pPr>
              <w:cnfStyle w:val="000000100000" w:firstRow="0" w:lastRow="0" w:firstColumn="0" w:lastColumn="0" w:oddVBand="0" w:evenVBand="0" w:oddHBand="1" w:evenHBand="0" w:firstRowFirstColumn="0" w:firstRowLastColumn="0" w:lastRowFirstColumn="0" w:lastRowLastColumn="0"/>
              <w:rPr>
                <w:rFonts w:cs="Arial"/>
              </w:rPr>
            </w:pPr>
            <w:r w:rsidRPr="001A742E">
              <w:rPr>
                <w:rFonts w:cs="Arial"/>
              </w:rPr>
              <w:t>Desks, chairs, filing cabinets, photocopiers, printers, fax machines</w:t>
            </w:r>
          </w:p>
        </w:tc>
      </w:tr>
      <w:tr w:rsidR="00F3005A" w:rsidRPr="001A742E" w:rsidTr="00F3005A">
        <w:tc>
          <w:tcPr>
            <w:cnfStyle w:val="001000000000" w:firstRow="0" w:lastRow="0" w:firstColumn="1" w:lastColumn="0" w:oddVBand="0" w:evenVBand="0" w:oddHBand="0" w:evenHBand="0" w:firstRowFirstColumn="0" w:firstRowLastColumn="0" w:lastRowFirstColumn="0" w:lastRowLastColumn="0"/>
            <w:tcW w:w="4508" w:type="dxa"/>
          </w:tcPr>
          <w:p w:rsidR="00F3005A" w:rsidRPr="001A742E" w:rsidRDefault="00F3005A" w:rsidP="00FA0AC6">
            <w:pPr>
              <w:rPr>
                <w:rFonts w:cs="Arial"/>
                <w:b w:val="0"/>
                <w:bCs w:val="0"/>
              </w:rPr>
            </w:pPr>
            <w:r w:rsidRPr="001A742E">
              <w:rPr>
                <w:rFonts w:cs="Arial"/>
              </w:rPr>
              <w:t xml:space="preserve">Mobile phone costs </w:t>
            </w:r>
          </w:p>
          <w:p w:rsidR="00F3005A" w:rsidRPr="001A742E" w:rsidRDefault="00F3005A" w:rsidP="00FA0AC6">
            <w:pPr>
              <w:rPr>
                <w:rFonts w:cs="Arial"/>
              </w:rPr>
            </w:pPr>
            <w:r w:rsidRPr="001A742E">
              <w:rPr>
                <w:rFonts w:cs="Arial"/>
              </w:rPr>
              <w:t>Including rental or purchase; roaming charges</w:t>
            </w:r>
          </w:p>
        </w:tc>
        <w:tc>
          <w:tcPr>
            <w:tcW w:w="5552" w:type="dxa"/>
          </w:tcPr>
          <w:p w:rsidR="00F3005A" w:rsidRPr="001A742E" w:rsidRDefault="00F3005A" w:rsidP="00FA0AC6">
            <w:pPr>
              <w:cnfStyle w:val="000000000000" w:firstRow="0" w:lastRow="0" w:firstColumn="0" w:lastColumn="0" w:oddVBand="0" w:evenVBand="0" w:oddHBand="0" w:evenHBand="0" w:firstRowFirstColumn="0" w:firstRowLastColumn="0" w:lastRowFirstColumn="0" w:lastRowLastColumn="0"/>
              <w:rPr>
                <w:rFonts w:cs="Arial"/>
              </w:rPr>
            </w:pPr>
          </w:p>
        </w:tc>
      </w:tr>
      <w:tr w:rsidR="00F3005A" w:rsidRPr="001A742E" w:rsidTr="00F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005A" w:rsidRPr="001A742E" w:rsidRDefault="00F3005A" w:rsidP="00FA0AC6">
            <w:pPr>
              <w:rPr>
                <w:rFonts w:cs="Arial"/>
              </w:rPr>
            </w:pPr>
            <w:r w:rsidRPr="001A742E">
              <w:rPr>
                <w:rFonts w:cs="Arial"/>
              </w:rPr>
              <w:t xml:space="preserve">Tuition Fees </w:t>
            </w:r>
          </w:p>
          <w:p w:rsidR="00F3005A" w:rsidRPr="001A742E" w:rsidRDefault="00F3005A" w:rsidP="00FA0AC6">
            <w:pPr>
              <w:rPr>
                <w:rFonts w:cs="Arial"/>
              </w:rPr>
            </w:pPr>
            <w:r w:rsidRPr="001A742E">
              <w:rPr>
                <w:rFonts w:cs="Arial"/>
              </w:rPr>
              <w:lastRenderedPageBreak/>
              <w:t xml:space="preserve">Bench Fees (for example PhD, Masters or Undergraduate study) </w:t>
            </w:r>
          </w:p>
        </w:tc>
        <w:tc>
          <w:tcPr>
            <w:tcW w:w="5552" w:type="dxa"/>
          </w:tcPr>
          <w:p w:rsidR="00F3005A" w:rsidRPr="001A742E" w:rsidRDefault="00F3005A" w:rsidP="00FA0AC6">
            <w:pPr>
              <w:cnfStyle w:val="000000100000" w:firstRow="0" w:lastRow="0" w:firstColumn="0" w:lastColumn="0" w:oddVBand="0" w:evenVBand="0" w:oddHBand="1" w:evenHBand="0" w:firstRowFirstColumn="0" w:firstRowLastColumn="0" w:lastRowFirstColumn="0" w:lastRowLastColumn="0"/>
              <w:rPr>
                <w:rFonts w:cs="Arial"/>
              </w:rPr>
            </w:pPr>
          </w:p>
        </w:tc>
      </w:tr>
      <w:tr w:rsidR="00F3005A" w:rsidRPr="001A742E" w:rsidTr="00F3005A">
        <w:tc>
          <w:tcPr>
            <w:cnfStyle w:val="001000000000" w:firstRow="0" w:lastRow="0" w:firstColumn="1" w:lastColumn="0" w:oddVBand="0" w:evenVBand="0" w:oddHBand="0" w:evenHBand="0" w:firstRowFirstColumn="0" w:firstRowLastColumn="0" w:lastRowFirstColumn="0" w:lastRowLastColumn="0"/>
            <w:tcW w:w="4508" w:type="dxa"/>
          </w:tcPr>
          <w:p w:rsidR="00F3005A" w:rsidRPr="001A742E" w:rsidRDefault="00F3005A" w:rsidP="00FA0AC6">
            <w:pPr>
              <w:rPr>
                <w:rFonts w:cs="Arial"/>
                <w:b w:val="0"/>
                <w:bCs w:val="0"/>
              </w:rPr>
            </w:pPr>
            <w:r w:rsidRPr="001A742E">
              <w:rPr>
                <w:rFonts w:cs="Arial"/>
              </w:rPr>
              <w:t>Attendance at conferences or other events</w:t>
            </w:r>
          </w:p>
        </w:tc>
        <w:tc>
          <w:tcPr>
            <w:tcW w:w="5552" w:type="dxa"/>
          </w:tcPr>
          <w:p w:rsidR="00F3005A" w:rsidRPr="001A742E" w:rsidRDefault="00F3005A" w:rsidP="00FA0AC6">
            <w:pPr>
              <w:cnfStyle w:val="000000000000" w:firstRow="0" w:lastRow="0" w:firstColumn="0" w:lastColumn="0" w:oddVBand="0" w:evenVBand="0" w:oddHBand="0" w:evenHBand="0" w:firstRowFirstColumn="0" w:firstRowLastColumn="0" w:lastRowFirstColumn="0" w:lastRowLastColumn="0"/>
              <w:rPr>
                <w:rFonts w:cs="Arial"/>
              </w:rPr>
            </w:pPr>
            <w:r w:rsidRPr="001A742E">
              <w:rPr>
                <w:rFonts w:cs="Arial"/>
              </w:rPr>
              <w:t xml:space="preserve">Unless this is to present outputs and outcomes of the project. </w:t>
            </w:r>
          </w:p>
          <w:p w:rsidR="00F3005A" w:rsidRPr="001A742E" w:rsidRDefault="00F3005A" w:rsidP="00FA0AC6">
            <w:pPr>
              <w:cnfStyle w:val="000000000000" w:firstRow="0" w:lastRow="0" w:firstColumn="0" w:lastColumn="0" w:oddVBand="0" w:evenVBand="0" w:oddHBand="0" w:evenHBand="0" w:firstRowFirstColumn="0" w:firstRowLastColumn="0" w:lastRowFirstColumn="0" w:lastRowLastColumn="0"/>
              <w:rPr>
                <w:rFonts w:cs="Arial"/>
              </w:rPr>
            </w:pPr>
          </w:p>
        </w:tc>
      </w:tr>
      <w:tr w:rsidR="00F3005A" w:rsidRPr="001A742E" w:rsidTr="00F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005A" w:rsidRPr="001A742E" w:rsidRDefault="00F3005A" w:rsidP="00FA0AC6">
            <w:pPr>
              <w:rPr>
                <w:rFonts w:cs="Arial"/>
                <w:b w:val="0"/>
                <w:bCs w:val="0"/>
              </w:rPr>
            </w:pPr>
            <w:r w:rsidRPr="001A742E">
              <w:rPr>
                <w:rFonts w:cs="Arial"/>
              </w:rPr>
              <w:t>IP costs</w:t>
            </w:r>
          </w:p>
          <w:p w:rsidR="00F3005A" w:rsidRPr="001A742E" w:rsidRDefault="00F3005A" w:rsidP="00FA0AC6">
            <w:pPr>
              <w:rPr>
                <w:rFonts w:cs="Arial"/>
              </w:rPr>
            </w:pPr>
            <w:r w:rsidRPr="001A742E">
              <w:rPr>
                <w:rFonts w:cs="Arial"/>
              </w:rPr>
              <w:t>Patents, copyright, licensing or other IP-related costs</w:t>
            </w:r>
          </w:p>
        </w:tc>
        <w:tc>
          <w:tcPr>
            <w:tcW w:w="5552" w:type="dxa"/>
          </w:tcPr>
          <w:p w:rsidR="00F3005A" w:rsidRPr="001A742E" w:rsidRDefault="00F3005A" w:rsidP="00FA0AC6">
            <w:pPr>
              <w:cnfStyle w:val="000000100000" w:firstRow="0" w:lastRow="0" w:firstColumn="0" w:lastColumn="0" w:oddVBand="0" w:evenVBand="0" w:oddHBand="1" w:evenHBand="0" w:firstRowFirstColumn="0" w:firstRowLastColumn="0" w:lastRowFirstColumn="0" w:lastRowLastColumn="0"/>
              <w:rPr>
                <w:rFonts w:cs="Arial"/>
              </w:rPr>
            </w:pPr>
          </w:p>
        </w:tc>
      </w:tr>
      <w:tr w:rsidR="00F3005A" w:rsidRPr="001A742E" w:rsidTr="00F3005A">
        <w:tc>
          <w:tcPr>
            <w:cnfStyle w:val="001000000000" w:firstRow="0" w:lastRow="0" w:firstColumn="1" w:lastColumn="0" w:oddVBand="0" w:evenVBand="0" w:oddHBand="0" w:evenHBand="0" w:firstRowFirstColumn="0" w:firstRowLastColumn="0" w:lastRowFirstColumn="0" w:lastRowLastColumn="0"/>
            <w:tcW w:w="4508" w:type="dxa"/>
          </w:tcPr>
          <w:p w:rsidR="00F3005A" w:rsidRPr="001A742E" w:rsidRDefault="00F3005A" w:rsidP="00FA0AC6">
            <w:pPr>
              <w:rPr>
                <w:rFonts w:cs="Arial"/>
              </w:rPr>
            </w:pPr>
            <w:r w:rsidRPr="001A742E">
              <w:rPr>
                <w:rFonts w:cs="Arial"/>
              </w:rPr>
              <w:t>Costs relating to the construction, procurement or rental of physical infrastructure, (e.g. office buildings, laboratory facilities)</w:t>
            </w:r>
          </w:p>
        </w:tc>
        <w:tc>
          <w:tcPr>
            <w:tcW w:w="5552" w:type="dxa"/>
          </w:tcPr>
          <w:p w:rsidR="00F3005A" w:rsidRPr="001A742E" w:rsidRDefault="00F3005A" w:rsidP="00FA0AC6">
            <w:pPr>
              <w:cnfStyle w:val="000000000000" w:firstRow="0" w:lastRow="0" w:firstColumn="0" w:lastColumn="0" w:oddVBand="0" w:evenVBand="0" w:oddHBand="0" w:evenHBand="0" w:firstRowFirstColumn="0" w:firstRowLastColumn="0" w:lastRowFirstColumn="0" w:lastRowLastColumn="0"/>
              <w:rPr>
                <w:rFonts w:cs="Arial"/>
              </w:rPr>
            </w:pPr>
            <w:r w:rsidRPr="001A742E">
              <w:rPr>
                <w:rFonts w:cs="Arial"/>
              </w:rPr>
              <w:t xml:space="preserve">It is expected that rooms and facilities essential for the routine operation of collaboration are provided as an in-kind contribution by the participating institutions. These can be detailed as an in-kind contribution in the budget breakdown. </w:t>
            </w:r>
          </w:p>
          <w:p w:rsidR="00F3005A" w:rsidRPr="001A742E" w:rsidRDefault="00F3005A" w:rsidP="00FA0AC6">
            <w:pPr>
              <w:cnfStyle w:val="000000000000" w:firstRow="0" w:lastRow="0" w:firstColumn="0" w:lastColumn="0" w:oddVBand="0" w:evenVBand="0" w:oddHBand="0" w:evenHBand="0" w:firstRowFirstColumn="0" w:firstRowLastColumn="0" w:lastRowFirstColumn="0" w:lastRowLastColumn="0"/>
              <w:rPr>
                <w:rFonts w:cs="Arial"/>
              </w:rPr>
            </w:pPr>
          </w:p>
        </w:tc>
      </w:tr>
      <w:tr w:rsidR="00F3005A" w:rsidRPr="001A742E" w:rsidTr="00F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F3005A" w:rsidRPr="001A742E" w:rsidRDefault="00F3005A" w:rsidP="00FA0AC6">
            <w:pPr>
              <w:rPr>
                <w:rFonts w:cs="Arial"/>
              </w:rPr>
            </w:pPr>
            <w:r w:rsidRPr="001A742E">
              <w:rPr>
                <w:rFonts w:cs="Arial"/>
              </w:rPr>
              <w:t xml:space="preserve">Entertainment costs </w:t>
            </w:r>
          </w:p>
        </w:tc>
        <w:tc>
          <w:tcPr>
            <w:tcW w:w="5552" w:type="dxa"/>
          </w:tcPr>
          <w:p w:rsidR="00F3005A" w:rsidRPr="001A742E" w:rsidRDefault="00F3005A" w:rsidP="00FA0AC6">
            <w:pPr>
              <w:cnfStyle w:val="000000100000" w:firstRow="0" w:lastRow="0" w:firstColumn="0" w:lastColumn="0" w:oddVBand="0" w:evenVBand="0" w:oddHBand="1" w:evenHBand="0" w:firstRowFirstColumn="0" w:firstRowLastColumn="0" w:lastRowFirstColumn="0" w:lastRowLastColumn="0"/>
              <w:rPr>
                <w:rFonts w:cs="Arial"/>
              </w:rPr>
            </w:pPr>
            <w:r w:rsidRPr="001A742E">
              <w:rPr>
                <w:rFonts w:cs="Arial"/>
              </w:rPr>
              <w:t>such as: gifts; alcohol; restaurant bills or hospitality costs for personnel not directly participating in the project; excessive restaurant costs; excessive taxi fares.</w:t>
            </w:r>
          </w:p>
          <w:p w:rsidR="00F3005A" w:rsidRPr="001A742E" w:rsidRDefault="00F3005A" w:rsidP="00FA0AC6">
            <w:pPr>
              <w:cnfStyle w:val="000000100000" w:firstRow="0" w:lastRow="0" w:firstColumn="0" w:lastColumn="0" w:oddVBand="0" w:evenVBand="0" w:oddHBand="1" w:evenHBand="0" w:firstRowFirstColumn="0" w:firstRowLastColumn="0" w:lastRowFirstColumn="0" w:lastRowLastColumn="0"/>
              <w:rPr>
                <w:rFonts w:cs="Arial"/>
              </w:rPr>
            </w:pPr>
          </w:p>
        </w:tc>
      </w:tr>
    </w:tbl>
    <w:p w:rsidR="00F3005A" w:rsidRDefault="00F3005A" w:rsidP="00F3005A">
      <w:pPr>
        <w:pStyle w:val="HeadingB"/>
      </w:pPr>
    </w:p>
    <w:p w:rsidR="00F3005A" w:rsidRPr="001A742E" w:rsidRDefault="00F3005A" w:rsidP="00F3005A">
      <w:pPr>
        <w:pStyle w:val="HeadingB"/>
      </w:pPr>
      <w:r w:rsidRPr="001A742E">
        <w:t xml:space="preserve">Project duration </w:t>
      </w:r>
    </w:p>
    <w:p w:rsidR="00F3005A" w:rsidRPr="001A742E" w:rsidRDefault="00F3005A" w:rsidP="00F3005A">
      <w:pPr>
        <w:rPr>
          <w:rFonts w:cs="Arial"/>
        </w:rPr>
      </w:pPr>
      <w:r>
        <w:rPr>
          <w:rFonts w:cs="Arial"/>
        </w:rPr>
        <w:t>Projects must be completed by 31 March 2022.</w:t>
      </w:r>
      <w:r w:rsidRPr="001A742E">
        <w:rPr>
          <w:rFonts w:cs="Arial"/>
        </w:rPr>
        <w:t xml:space="preserve"> Funding, if approved, will be transferred to the successful lead institution once the grant agreement is counter-signed by the British Council. </w:t>
      </w:r>
    </w:p>
    <w:p w:rsidR="00F3005A" w:rsidRPr="001A742E" w:rsidRDefault="00F3005A" w:rsidP="00F3005A">
      <w:pPr>
        <w:rPr>
          <w:rFonts w:cs="Arial"/>
        </w:rPr>
      </w:pPr>
      <w:r w:rsidRPr="001A742E">
        <w:rPr>
          <w:rFonts w:cs="Arial"/>
        </w:rPr>
        <w:t xml:space="preserve">Formal project start dates will be set in the grant agreement by the British Council. Expenses incurred by the institutions prior to the effective start date, including any costs incurred in the production of the proposal, cannot be charged to the grant. </w:t>
      </w:r>
    </w:p>
    <w:p w:rsidR="00F3005A" w:rsidRPr="001A742E" w:rsidRDefault="00F3005A" w:rsidP="00F3005A">
      <w:pPr>
        <w:pStyle w:val="HeadingB"/>
      </w:pPr>
      <w:r w:rsidRPr="001A742E">
        <w:t xml:space="preserve">Ethics and research governance </w:t>
      </w:r>
    </w:p>
    <w:p w:rsidR="00F3005A" w:rsidRPr="001A742E" w:rsidRDefault="00F3005A" w:rsidP="00F3005A">
      <w:pPr>
        <w:rPr>
          <w:rFonts w:cs="Arial"/>
        </w:rPr>
      </w:pPr>
      <w:r w:rsidRPr="001A742E">
        <w:rPr>
          <w:rFonts w:cs="Arial"/>
        </w:rPr>
        <w:t xml:space="preserve">It is essential that all legal and professional codes of practice are followed in conducting work supported by this grant. Applicants must ensure the proposed activity will be carried out to the highest standards of ethics and research integrity. </w:t>
      </w:r>
    </w:p>
    <w:p w:rsidR="00F3005A" w:rsidRPr="001A742E" w:rsidRDefault="00F3005A" w:rsidP="00F3005A">
      <w:pPr>
        <w:rPr>
          <w:rFonts w:cs="Arial"/>
        </w:rPr>
      </w:pPr>
      <w:r w:rsidRPr="001A742E">
        <w:rPr>
          <w:rFonts w:cs="Arial"/>
        </w:rPr>
        <w:t>It is the absolute responsibility of the Principal Applicants and the Lead Institution to ensure that appropriate ethical approval is granted and adhered to, and that no research or other activity requiring ethical approval is initiated until it has been granted.</w:t>
      </w:r>
    </w:p>
    <w:p w:rsidR="00F3005A" w:rsidRPr="001A742E" w:rsidRDefault="00F3005A" w:rsidP="00F3005A">
      <w:pPr>
        <w:pStyle w:val="HeadingB"/>
      </w:pPr>
      <w:r w:rsidRPr="001A742E">
        <w:lastRenderedPageBreak/>
        <w:t xml:space="preserve">Diversity </w:t>
      </w:r>
    </w:p>
    <w:p w:rsidR="00F3005A" w:rsidRPr="001A742E" w:rsidRDefault="00F3005A" w:rsidP="00F3005A">
      <w:pPr>
        <w:rPr>
          <w:rFonts w:cs="Arial"/>
        </w:rPr>
      </w:pPr>
      <w:r w:rsidRPr="001A742E">
        <w:rPr>
          <w:rFonts w:cs="Arial"/>
        </w:rPr>
        <w:t xml:space="preserve">The British Council is committed to equality, diversity and inclusion, and to continuing to attract and nurture talented people from the widest pool to remain internationally competitive in research and innovation. We believe that everyone has a right to be treated with dignity and respect, and to be provided with equal opportunities to flourish and succeed. This includes avoidance of bias due to disability, gender reassignment, marriage or civil partnership status, pregnancy and maternity, race, religion or belief, sexual orientation, sex (gender), and age. </w:t>
      </w:r>
    </w:p>
    <w:p w:rsidR="00F3005A" w:rsidRPr="001A742E" w:rsidRDefault="00F3005A" w:rsidP="00F3005A">
      <w:pPr>
        <w:rPr>
          <w:rFonts w:cs="Arial"/>
        </w:rPr>
      </w:pPr>
      <w:r w:rsidRPr="001A742E">
        <w:rPr>
          <w:rFonts w:cs="Arial"/>
        </w:rPr>
        <w:t>We also recognise, and will seek to maximise, the benefits achieved by diversity of thought and experience within inclusive groups, organisations and the wider community. British Council is therefore committed to ensuring that the best potential researchers from a diverse population are attracted into research careers. Applicants are asked to consider encouraging participation from researchers from under-represented groups in the teams implementing their proposed activities.</w:t>
      </w:r>
    </w:p>
    <w:p w:rsidR="00F3005A" w:rsidRPr="001A742E" w:rsidRDefault="00F3005A" w:rsidP="00F3005A">
      <w:pPr>
        <w:pStyle w:val="HeadingB"/>
        <w:rPr>
          <w:rFonts w:cs="Arial"/>
          <w:lang w:eastAsia="en-GB"/>
        </w:rPr>
      </w:pPr>
      <w:r w:rsidRPr="001A742E">
        <w:rPr>
          <w:rFonts w:cs="Arial"/>
          <w:lang w:eastAsia="en-GB"/>
        </w:rPr>
        <w:t>EOI dates</w:t>
      </w:r>
    </w:p>
    <w:p w:rsidR="00F3005A" w:rsidRPr="001A742E" w:rsidRDefault="00F3005A" w:rsidP="00F3005A">
      <w:pPr>
        <w:rPr>
          <w:rFonts w:cs="Arial"/>
          <w:lang w:eastAsia="en-GB"/>
        </w:rPr>
      </w:pPr>
      <w:r w:rsidRPr="001A742E">
        <w:rPr>
          <w:rFonts w:cs="Arial"/>
          <w:lang w:eastAsia="en-GB"/>
        </w:rPr>
        <w:t xml:space="preserve">The opening date for applications is </w:t>
      </w:r>
      <w:r w:rsidRPr="004D03C9">
        <w:rPr>
          <w:rFonts w:cs="Arial"/>
          <w:lang w:eastAsia="en-GB"/>
        </w:rPr>
        <w:t xml:space="preserve">9am GMT on Thursday 8 </w:t>
      </w:r>
      <w:r w:rsidRPr="001A742E">
        <w:rPr>
          <w:rFonts w:cs="Arial"/>
          <w:lang w:eastAsia="en-GB"/>
        </w:rPr>
        <w:t xml:space="preserve">October and the closing date is </w:t>
      </w:r>
      <w:r w:rsidRPr="004D03C9">
        <w:rPr>
          <w:rFonts w:cs="Arial"/>
          <w:lang w:eastAsia="en-GB"/>
        </w:rPr>
        <w:t xml:space="preserve">5pm GMT on Friday 13 </w:t>
      </w:r>
      <w:r w:rsidRPr="001A742E">
        <w:rPr>
          <w:rFonts w:cs="Arial"/>
          <w:lang w:eastAsia="en-GB"/>
        </w:rPr>
        <w:t xml:space="preserve">November. The British Council reserves the right to extend the closing date. </w:t>
      </w:r>
    </w:p>
    <w:p w:rsidR="00F3005A" w:rsidRPr="00F3005A" w:rsidRDefault="00F3005A" w:rsidP="00F3005A">
      <w:pPr>
        <w:pStyle w:val="ListParagraph"/>
        <w:numPr>
          <w:ilvl w:val="0"/>
          <w:numId w:val="26"/>
        </w:numPr>
        <w:spacing w:after="120" w:line="276" w:lineRule="auto"/>
        <w:rPr>
          <w:rFonts w:ascii="Arial" w:hAnsi="Arial" w:cs="Arial"/>
          <w:sz w:val="24"/>
          <w:lang w:eastAsia="en-GB"/>
        </w:rPr>
      </w:pPr>
      <w:r w:rsidRPr="00F3005A">
        <w:rPr>
          <w:rFonts w:ascii="Arial" w:hAnsi="Arial" w:cs="Arial"/>
          <w:sz w:val="24"/>
          <w:lang w:eastAsia="en-GB"/>
        </w:rPr>
        <w:t xml:space="preserve">Any entry received after the closing date will not be considered. </w:t>
      </w:r>
    </w:p>
    <w:p w:rsidR="00F3005A" w:rsidRPr="00F3005A" w:rsidRDefault="00F3005A" w:rsidP="00F3005A">
      <w:pPr>
        <w:pStyle w:val="ListParagraph"/>
        <w:numPr>
          <w:ilvl w:val="0"/>
          <w:numId w:val="26"/>
        </w:numPr>
        <w:spacing w:after="120" w:line="276" w:lineRule="auto"/>
        <w:rPr>
          <w:rFonts w:ascii="Arial" w:hAnsi="Arial" w:cs="Arial"/>
          <w:sz w:val="24"/>
          <w:lang w:eastAsia="en-GB"/>
        </w:rPr>
      </w:pPr>
      <w:r w:rsidRPr="00F3005A">
        <w:rPr>
          <w:rFonts w:ascii="Arial" w:hAnsi="Arial" w:cs="Arial"/>
          <w:sz w:val="24"/>
          <w:lang w:eastAsia="en-GB"/>
        </w:rPr>
        <w:t xml:space="preserve">The British Council accepts no responsibility whatsoever for any technical failure or malfunction or any other problem with any system, server, provider or otherwise that may result in any entry being lost, delayed or not properly registered. </w:t>
      </w:r>
    </w:p>
    <w:p w:rsidR="00F3005A" w:rsidRPr="00F3005A" w:rsidRDefault="00F3005A" w:rsidP="00F3005A">
      <w:pPr>
        <w:pStyle w:val="ListParagraph"/>
        <w:numPr>
          <w:ilvl w:val="0"/>
          <w:numId w:val="26"/>
        </w:numPr>
        <w:spacing w:after="120" w:line="276" w:lineRule="auto"/>
        <w:rPr>
          <w:rFonts w:ascii="Arial" w:hAnsi="Arial" w:cs="Arial"/>
          <w:sz w:val="24"/>
          <w:lang w:eastAsia="en-GB"/>
        </w:rPr>
      </w:pPr>
      <w:r w:rsidRPr="00F3005A">
        <w:rPr>
          <w:rFonts w:ascii="Arial" w:hAnsi="Arial" w:cs="Arial"/>
          <w:sz w:val="24"/>
          <w:lang w:eastAsia="en-GB"/>
        </w:rPr>
        <w:t>Successful applicants will be advised within eight weeks of the closing date.</w:t>
      </w:r>
    </w:p>
    <w:p w:rsidR="00F3005A" w:rsidRPr="001A742E" w:rsidRDefault="00F3005A" w:rsidP="00F3005A">
      <w:pPr>
        <w:pStyle w:val="HeadingB"/>
        <w:rPr>
          <w:rFonts w:cs="Arial"/>
          <w:lang w:eastAsia="en-GB"/>
        </w:rPr>
      </w:pPr>
      <w:r w:rsidRPr="001A742E">
        <w:rPr>
          <w:rFonts w:cs="Arial"/>
          <w:lang w:eastAsia="en-GB"/>
        </w:rPr>
        <w:t>How to apply</w:t>
      </w:r>
    </w:p>
    <w:p w:rsidR="00F3005A" w:rsidRDefault="00F3005A" w:rsidP="00F3005A">
      <w:pPr>
        <w:rPr>
          <w:rFonts w:cs="Arial"/>
          <w:lang w:eastAsia="en-GB"/>
        </w:rPr>
      </w:pPr>
      <w:r w:rsidRPr="001A742E">
        <w:rPr>
          <w:rFonts w:cs="Arial"/>
          <w:lang w:eastAsia="en-GB"/>
        </w:rPr>
        <w:t xml:space="preserve">The opportunity will be promoted through various British Council communication channels including the UK/Australia Season 2021-22 </w:t>
      </w:r>
      <w:r w:rsidRPr="00215B7B">
        <w:rPr>
          <w:rFonts w:cs="Arial"/>
          <w:lang w:eastAsia="en-GB"/>
        </w:rPr>
        <w:t xml:space="preserve">website </w:t>
      </w:r>
      <w:hyperlink r:id="rId8" w:history="1">
        <w:r w:rsidRPr="00215B7B">
          <w:rPr>
            <w:rStyle w:val="Hyperlink"/>
            <w:rFonts w:cs="Arial"/>
          </w:rPr>
          <w:t>https://www.britishcouncil.org.au/uk-australia-2021-22/how-to-apply/uk/uk-australia-applications-%E2%80%93-higher-education</w:t>
        </w:r>
      </w:hyperlink>
      <w:r>
        <w:t xml:space="preserve"> </w:t>
      </w:r>
      <w:r w:rsidRPr="001A742E">
        <w:rPr>
          <w:rFonts w:cs="Arial"/>
          <w:lang w:eastAsia="en-GB"/>
        </w:rPr>
        <w:t xml:space="preserve"> and the British Council IES portal </w:t>
      </w:r>
      <w:hyperlink r:id="rId9" w:history="1">
        <w:r w:rsidRPr="00310D4F">
          <w:rPr>
            <w:rStyle w:val="Hyperlink"/>
            <w:rFonts w:cs="Arial"/>
            <w:lang w:eastAsia="en-GB"/>
          </w:rPr>
          <w:t>https://education-services.britishcouncil.org/front?no_cache=1601985108</w:t>
        </w:r>
      </w:hyperlink>
      <w:r>
        <w:rPr>
          <w:rFonts w:cs="Arial"/>
          <w:lang w:eastAsia="en-GB"/>
        </w:rPr>
        <w:t>.</w:t>
      </w:r>
      <w:r w:rsidRPr="001A742E">
        <w:rPr>
          <w:rFonts w:cs="Arial"/>
          <w:lang w:eastAsia="en-GB"/>
        </w:rPr>
        <w:t xml:space="preserve">  </w:t>
      </w:r>
    </w:p>
    <w:p w:rsidR="00F3005A" w:rsidRPr="001A742E" w:rsidRDefault="00F3005A" w:rsidP="00F3005A">
      <w:pPr>
        <w:rPr>
          <w:rFonts w:cs="Arial"/>
          <w:lang w:eastAsia="en-GB"/>
        </w:rPr>
      </w:pPr>
      <w:r w:rsidRPr="001A742E">
        <w:rPr>
          <w:rFonts w:cs="Arial"/>
          <w:lang w:eastAsia="en-GB"/>
        </w:rPr>
        <w:t xml:space="preserve">To apply participants must fill in the application form and email it to </w:t>
      </w:r>
      <w:hyperlink r:id="rId10" w:history="1">
        <w:r w:rsidRPr="00310D4F">
          <w:rPr>
            <w:rStyle w:val="Hyperlink"/>
            <w:rFonts w:cs="Arial"/>
            <w:lang w:eastAsia="en-GB"/>
          </w:rPr>
          <w:t>IHE@britishcouncil.org</w:t>
        </w:r>
      </w:hyperlink>
      <w:r>
        <w:rPr>
          <w:rFonts w:cs="Arial"/>
          <w:lang w:eastAsia="en-GB"/>
        </w:rPr>
        <w:t xml:space="preserve">   </w:t>
      </w:r>
      <w:r w:rsidRPr="001A742E">
        <w:rPr>
          <w:rFonts w:cs="Arial"/>
          <w:lang w:eastAsia="en-GB"/>
        </w:rPr>
        <w:t xml:space="preserve"> and then follow these steps:</w:t>
      </w:r>
    </w:p>
    <w:p w:rsidR="00F3005A" w:rsidRPr="00F3005A" w:rsidRDefault="00F3005A" w:rsidP="00F3005A">
      <w:pPr>
        <w:pStyle w:val="ListParagraph"/>
        <w:numPr>
          <w:ilvl w:val="0"/>
          <w:numId w:val="27"/>
        </w:numPr>
        <w:spacing w:after="120" w:line="276" w:lineRule="auto"/>
        <w:rPr>
          <w:rFonts w:ascii="Arial" w:hAnsi="Arial" w:cs="Arial"/>
          <w:sz w:val="24"/>
          <w:lang w:eastAsia="en-GB"/>
        </w:rPr>
      </w:pPr>
      <w:r w:rsidRPr="00F3005A">
        <w:rPr>
          <w:rFonts w:ascii="Arial" w:hAnsi="Arial" w:cs="Arial"/>
          <w:sz w:val="24"/>
          <w:lang w:eastAsia="en-GB"/>
        </w:rPr>
        <w:t xml:space="preserve">accept these Terms and Conditions by </w:t>
      </w:r>
      <w:proofErr w:type="gramStart"/>
      <w:r w:rsidRPr="00F3005A">
        <w:rPr>
          <w:rFonts w:ascii="Arial" w:hAnsi="Arial" w:cs="Arial"/>
          <w:sz w:val="24"/>
          <w:lang w:eastAsia="en-GB"/>
        </w:rPr>
        <w:t>submitting an application</w:t>
      </w:r>
      <w:proofErr w:type="gramEnd"/>
      <w:r w:rsidRPr="00F3005A">
        <w:rPr>
          <w:rFonts w:ascii="Arial" w:hAnsi="Arial" w:cs="Arial"/>
          <w:sz w:val="24"/>
          <w:lang w:eastAsia="en-GB"/>
        </w:rPr>
        <w:t xml:space="preserve"> </w:t>
      </w:r>
    </w:p>
    <w:p w:rsidR="00F3005A" w:rsidRPr="00F3005A" w:rsidRDefault="00F3005A" w:rsidP="00F3005A">
      <w:pPr>
        <w:pStyle w:val="ListParagraph"/>
        <w:numPr>
          <w:ilvl w:val="0"/>
          <w:numId w:val="27"/>
        </w:numPr>
        <w:spacing w:after="120" w:line="276" w:lineRule="auto"/>
        <w:rPr>
          <w:rFonts w:ascii="Arial" w:hAnsi="Arial" w:cs="Arial"/>
          <w:sz w:val="24"/>
          <w:lang w:eastAsia="en-GB"/>
        </w:rPr>
      </w:pPr>
      <w:r w:rsidRPr="00F3005A">
        <w:rPr>
          <w:rFonts w:ascii="Arial" w:hAnsi="Arial" w:cs="Arial"/>
          <w:sz w:val="24"/>
          <w:lang w:eastAsia="en-GB"/>
        </w:rPr>
        <w:t>answer the privacy question</w:t>
      </w:r>
    </w:p>
    <w:p w:rsidR="00F3005A" w:rsidRPr="00F3005A" w:rsidRDefault="00F3005A" w:rsidP="00F3005A">
      <w:pPr>
        <w:pStyle w:val="ListParagraph"/>
        <w:numPr>
          <w:ilvl w:val="0"/>
          <w:numId w:val="27"/>
        </w:numPr>
        <w:spacing w:after="120" w:line="276" w:lineRule="auto"/>
        <w:rPr>
          <w:rFonts w:ascii="Arial" w:hAnsi="Arial" w:cs="Arial"/>
          <w:sz w:val="24"/>
          <w:lang w:eastAsia="en-GB"/>
        </w:rPr>
      </w:pPr>
      <w:r w:rsidRPr="00F3005A">
        <w:rPr>
          <w:rFonts w:ascii="Arial" w:hAnsi="Arial" w:cs="Arial"/>
          <w:sz w:val="24"/>
          <w:lang w:eastAsia="en-GB"/>
        </w:rPr>
        <w:t>answer the mandatory questions</w:t>
      </w:r>
    </w:p>
    <w:p w:rsidR="00F3005A" w:rsidRPr="00F3005A" w:rsidRDefault="00F3005A" w:rsidP="00F3005A">
      <w:pPr>
        <w:pStyle w:val="ListParagraph"/>
        <w:numPr>
          <w:ilvl w:val="0"/>
          <w:numId w:val="27"/>
        </w:numPr>
        <w:spacing w:after="120" w:line="276" w:lineRule="auto"/>
        <w:rPr>
          <w:rFonts w:ascii="Arial" w:hAnsi="Arial" w:cs="Arial"/>
          <w:sz w:val="24"/>
          <w:lang w:eastAsia="en-GB"/>
        </w:rPr>
      </w:pPr>
      <w:r w:rsidRPr="00F3005A">
        <w:rPr>
          <w:rFonts w:ascii="Arial" w:hAnsi="Arial" w:cs="Arial"/>
          <w:sz w:val="24"/>
          <w:lang w:eastAsia="en-GB"/>
        </w:rPr>
        <w:t>submit the application form by emailing it to the email address above</w:t>
      </w:r>
    </w:p>
    <w:p w:rsidR="00F3005A" w:rsidRPr="00F3005A" w:rsidRDefault="00F3005A" w:rsidP="00F3005A">
      <w:pPr>
        <w:pStyle w:val="ListParagraph"/>
        <w:numPr>
          <w:ilvl w:val="0"/>
          <w:numId w:val="27"/>
        </w:numPr>
        <w:spacing w:after="120" w:line="276" w:lineRule="auto"/>
        <w:rPr>
          <w:rFonts w:ascii="Arial" w:hAnsi="Arial" w:cs="Arial"/>
          <w:sz w:val="24"/>
          <w:lang w:eastAsia="en-GB"/>
        </w:rPr>
      </w:pPr>
      <w:r w:rsidRPr="00F3005A">
        <w:rPr>
          <w:rFonts w:ascii="Arial" w:hAnsi="Arial" w:cs="Arial"/>
          <w:sz w:val="24"/>
          <w:lang w:eastAsia="en-GB"/>
        </w:rPr>
        <w:t xml:space="preserve">applicants are responsible for ensuring they complete the form fully and correctly. </w:t>
      </w:r>
    </w:p>
    <w:p w:rsidR="00F3005A" w:rsidRPr="001A742E" w:rsidRDefault="00F3005A" w:rsidP="00F3005A">
      <w:pPr>
        <w:pStyle w:val="HeadingB"/>
        <w:rPr>
          <w:rFonts w:cs="Arial"/>
          <w:lang w:eastAsia="en-GB"/>
        </w:rPr>
      </w:pPr>
      <w:r w:rsidRPr="001A742E">
        <w:rPr>
          <w:rFonts w:cs="Arial"/>
          <w:lang w:eastAsia="en-GB"/>
        </w:rPr>
        <w:lastRenderedPageBreak/>
        <w:t>Selection of successful applicants</w:t>
      </w:r>
    </w:p>
    <w:p w:rsidR="00F3005A" w:rsidRPr="001A742E" w:rsidRDefault="00F3005A" w:rsidP="00F3005A">
      <w:pPr>
        <w:rPr>
          <w:rFonts w:cs="Arial"/>
          <w:lang w:eastAsia="en-GB"/>
        </w:rPr>
      </w:pPr>
      <w:r w:rsidRPr="001A742E">
        <w:rPr>
          <w:rFonts w:cs="Arial"/>
          <w:lang w:eastAsia="en-GB"/>
        </w:rPr>
        <w:t xml:space="preserve">The entries will be assessed by a panel of British Council specialist </w:t>
      </w:r>
      <w:r w:rsidRPr="0084671E">
        <w:rPr>
          <w:rFonts w:cs="Arial"/>
          <w:lang w:eastAsia="en-GB"/>
        </w:rPr>
        <w:t>Higher Education/Science staff and external independent academic advisors</w:t>
      </w:r>
      <w:r w:rsidRPr="001A742E">
        <w:rPr>
          <w:rFonts w:cs="Arial"/>
          <w:lang w:eastAsia="en-GB"/>
        </w:rPr>
        <w:t xml:space="preserve"> who will select the successful application based on the quality of responses to the Application questions within 32 days following the closing date referred to in the eligibility section above. </w:t>
      </w:r>
    </w:p>
    <w:p w:rsidR="00F3005A" w:rsidRPr="001A742E" w:rsidRDefault="00F3005A" w:rsidP="00F3005A">
      <w:pPr>
        <w:rPr>
          <w:rFonts w:cs="Arial"/>
          <w:lang w:eastAsia="en-GB"/>
        </w:rPr>
      </w:pPr>
      <w:r w:rsidRPr="001A742E">
        <w:rPr>
          <w:rFonts w:cs="Arial"/>
          <w:lang w:eastAsia="en-GB"/>
        </w:rPr>
        <w:t>All decisions of the panel will be final and binding.</w:t>
      </w:r>
      <w:r>
        <w:rPr>
          <w:rFonts w:cs="Arial"/>
          <w:lang w:eastAsia="en-GB"/>
        </w:rPr>
        <w:t xml:space="preserve"> </w:t>
      </w:r>
      <w:r w:rsidRPr="001A742E">
        <w:rPr>
          <w:rFonts w:cs="Arial"/>
          <w:lang w:eastAsia="en-GB"/>
        </w:rPr>
        <w:t xml:space="preserve">No correspondence will be </w:t>
      </w:r>
      <w:proofErr w:type="gramStart"/>
      <w:r w:rsidRPr="001A742E">
        <w:rPr>
          <w:rFonts w:cs="Arial"/>
          <w:lang w:eastAsia="en-GB"/>
        </w:rPr>
        <w:t>entered into</w:t>
      </w:r>
      <w:proofErr w:type="gramEnd"/>
      <w:r w:rsidRPr="001A742E">
        <w:rPr>
          <w:rFonts w:cs="Arial"/>
          <w:lang w:eastAsia="en-GB"/>
        </w:rPr>
        <w:t xml:space="preserve"> with the unsuccessful participants. </w:t>
      </w:r>
    </w:p>
    <w:p w:rsidR="00F3005A" w:rsidRPr="001A742E" w:rsidRDefault="00F3005A" w:rsidP="00F3005A">
      <w:pPr>
        <w:rPr>
          <w:rFonts w:cs="Arial"/>
          <w:lang w:eastAsia="en-GB"/>
        </w:rPr>
      </w:pPr>
      <w:r w:rsidRPr="001A742E">
        <w:rPr>
          <w:rFonts w:cs="Arial"/>
          <w:lang w:eastAsia="en-GB"/>
        </w:rPr>
        <w:t xml:space="preserve">The British Council accepts no responsibility for failure to notify successful applicants where such failure results from the provision of inaccurate contact details by the applicants or from the acts or omissions of any third party (including, without limitation, any internet or postal service provider) and shall have no liability to any applicant if it is prevented from or delayed in delivering any aspect of the opportunity by acts, events, omissions or accidents beyond its reasonable control. </w:t>
      </w:r>
    </w:p>
    <w:p w:rsidR="00F3005A" w:rsidRPr="001A742E" w:rsidRDefault="00F3005A" w:rsidP="00F3005A">
      <w:pPr>
        <w:rPr>
          <w:rFonts w:cs="Arial"/>
          <w:lang w:eastAsia="en-GB"/>
        </w:rPr>
      </w:pPr>
      <w:r w:rsidRPr="001A742E">
        <w:rPr>
          <w:rFonts w:cs="Arial"/>
          <w:lang w:eastAsia="en-GB"/>
        </w:rPr>
        <w:t>The British Council does not offer any insurance in connection with the opportunity. Each winning organisation is recommended to arrange their own insurance in respect of the opportunity.</w:t>
      </w:r>
    </w:p>
    <w:p w:rsidR="00F3005A" w:rsidRPr="001A742E" w:rsidRDefault="00F3005A" w:rsidP="00F3005A">
      <w:pPr>
        <w:pStyle w:val="HeadingB"/>
        <w:rPr>
          <w:rFonts w:cs="Arial"/>
          <w:lang w:eastAsia="en-GB"/>
        </w:rPr>
      </w:pPr>
      <w:r w:rsidRPr="001A742E">
        <w:rPr>
          <w:rFonts w:cs="Arial"/>
          <w:lang w:eastAsia="en-GB"/>
        </w:rPr>
        <w:t xml:space="preserve">Personal data </w:t>
      </w:r>
    </w:p>
    <w:p w:rsidR="00F3005A" w:rsidRPr="001A742E" w:rsidRDefault="00F3005A" w:rsidP="00F3005A">
      <w:pPr>
        <w:rPr>
          <w:rFonts w:cs="Arial"/>
          <w:lang w:eastAsia="en-GB"/>
        </w:rPr>
      </w:pPr>
      <w:r w:rsidRPr="001A742E">
        <w:rPr>
          <w:rFonts w:cs="Arial"/>
          <w:lang w:eastAsia="en-GB"/>
        </w:rPr>
        <w:t xml:space="preserve">The British Council will collect and store the names and email addresses of all applicants and the additional details of applicants as anticipated by the ‘how to apply’ and ‘selection of successful applicants’ sections above. </w:t>
      </w:r>
    </w:p>
    <w:p w:rsidR="00F3005A" w:rsidRPr="001A742E" w:rsidRDefault="00F3005A" w:rsidP="00F3005A">
      <w:pPr>
        <w:rPr>
          <w:rFonts w:cs="Arial"/>
          <w:lang w:eastAsia="en-GB"/>
        </w:rPr>
      </w:pPr>
      <w:r w:rsidRPr="001A742E">
        <w:rPr>
          <w:rFonts w:cs="Arial"/>
          <w:lang w:eastAsia="en-GB"/>
        </w:rPr>
        <w:t>The British Council will use this personal data for the following purposes:</w:t>
      </w:r>
    </w:p>
    <w:p w:rsidR="00F3005A" w:rsidRPr="00F3005A" w:rsidRDefault="00F3005A" w:rsidP="00F3005A">
      <w:pPr>
        <w:pStyle w:val="ListParagraph"/>
        <w:numPr>
          <w:ilvl w:val="0"/>
          <w:numId w:val="28"/>
        </w:numPr>
        <w:spacing w:after="120" w:line="276" w:lineRule="auto"/>
        <w:rPr>
          <w:rFonts w:ascii="Arial" w:hAnsi="Arial" w:cs="Arial"/>
          <w:sz w:val="24"/>
          <w:lang w:eastAsia="en-GB"/>
        </w:rPr>
      </w:pPr>
      <w:r w:rsidRPr="00F3005A">
        <w:rPr>
          <w:rFonts w:ascii="Arial" w:hAnsi="Arial" w:cs="Arial"/>
          <w:sz w:val="24"/>
          <w:lang w:eastAsia="en-GB"/>
        </w:rPr>
        <w:t>managing the relationship between the applicants and the British Council;</w:t>
      </w:r>
    </w:p>
    <w:p w:rsidR="00F3005A" w:rsidRPr="00F3005A" w:rsidRDefault="00F3005A" w:rsidP="00F3005A">
      <w:pPr>
        <w:pStyle w:val="ListParagraph"/>
        <w:numPr>
          <w:ilvl w:val="0"/>
          <w:numId w:val="28"/>
        </w:numPr>
        <w:spacing w:after="120" w:line="276" w:lineRule="auto"/>
        <w:rPr>
          <w:rFonts w:ascii="Arial" w:hAnsi="Arial" w:cs="Arial"/>
          <w:sz w:val="24"/>
          <w:lang w:eastAsia="en-GB"/>
        </w:rPr>
      </w:pPr>
      <w:r w:rsidRPr="00F3005A">
        <w:rPr>
          <w:rFonts w:ascii="Arial" w:hAnsi="Arial" w:cs="Arial"/>
          <w:sz w:val="24"/>
          <w:lang w:eastAsia="en-GB"/>
        </w:rPr>
        <w:t>communicating with applicants to answer their queries about the opportunity;</w:t>
      </w:r>
    </w:p>
    <w:p w:rsidR="00F3005A" w:rsidRPr="00F3005A" w:rsidRDefault="00F3005A" w:rsidP="00F3005A">
      <w:pPr>
        <w:pStyle w:val="ListParagraph"/>
        <w:numPr>
          <w:ilvl w:val="0"/>
          <w:numId w:val="28"/>
        </w:numPr>
        <w:spacing w:after="120" w:line="276" w:lineRule="auto"/>
        <w:rPr>
          <w:rFonts w:ascii="Arial" w:hAnsi="Arial" w:cs="Arial"/>
          <w:sz w:val="24"/>
          <w:lang w:eastAsia="en-GB"/>
        </w:rPr>
      </w:pPr>
      <w:r w:rsidRPr="00F3005A">
        <w:rPr>
          <w:rFonts w:ascii="Arial" w:hAnsi="Arial" w:cs="Arial"/>
          <w:sz w:val="24"/>
          <w:lang w:eastAsia="en-GB"/>
        </w:rPr>
        <w:t xml:space="preserve">communicating with successful applicants </w:t>
      </w:r>
    </w:p>
    <w:p w:rsidR="00F3005A" w:rsidRPr="00F3005A" w:rsidRDefault="00F3005A" w:rsidP="00F3005A">
      <w:pPr>
        <w:pStyle w:val="ListParagraph"/>
        <w:numPr>
          <w:ilvl w:val="0"/>
          <w:numId w:val="28"/>
        </w:numPr>
        <w:spacing w:after="120" w:line="276" w:lineRule="auto"/>
        <w:rPr>
          <w:rFonts w:ascii="Arial" w:hAnsi="Arial" w:cs="Arial"/>
          <w:sz w:val="24"/>
          <w:lang w:eastAsia="en-GB"/>
        </w:rPr>
      </w:pPr>
      <w:r w:rsidRPr="00F3005A">
        <w:rPr>
          <w:rFonts w:ascii="Arial" w:hAnsi="Arial" w:cs="Arial"/>
          <w:sz w:val="24"/>
          <w:lang w:eastAsia="en-GB"/>
        </w:rPr>
        <w:t xml:space="preserve">administering and delivering the Season and the British Council’s contribution to COP26. </w:t>
      </w:r>
    </w:p>
    <w:p w:rsidR="00F3005A" w:rsidRPr="001A742E" w:rsidRDefault="00F3005A" w:rsidP="00F3005A">
      <w:pPr>
        <w:rPr>
          <w:rFonts w:cs="Arial"/>
          <w:lang w:eastAsia="en-GB"/>
        </w:rPr>
      </w:pPr>
      <w:r w:rsidRPr="001A742E">
        <w:rPr>
          <w:rFonts w:cs="Arial"/>
          <w:lang w:eastAsia="en-GB"/>
        </w:rPr>
        <w:t xml:space="preserve">Where an applicant has consented to the British Council doing so, the British Council may contact the applicant using the personal data collected to provide information about the goods, services, courses or promotions that the British Council offers. </w:t>
      </w:r>
      <w:r w:rsidRPr="001A742E">
        <w:rPr>
          <w:rFonts w:cs="Arial"/>
          <w:lang w:eastAsia="en-GB"/>
        </w:rPr>
        <w:br/>
      </w:r>
      <w:r w:rsidRPr="001A742E">
        <w:rPr>
          <w:rFonts w:cs="Arial"/>
          <w:lang w:eastAsia="en-GB"/>
        </w:rPr>
        <w:br/>
        <w:t>By participating in the opportunity, applicants consent to their personal data being processed by the British Council in accordance with, and for the purposes set out in, this section of these terms and conditions. 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rsidR="00F3005A" w:rsidRDefault="00F3005A" w:rsidP="00F3005A">
      <w:pPr>
        <w:pStyle w:val="HeadingB"/>
        <w:rPr>
          <w:rFonts w:cs="Arial"/>
          <w:lang w:eastAsia="en-GB"/>
        </w:rPr>
      </w:pPr>
    </w:p>
    <w:p w:rsidR="00F3005A" w:rsidRPr="001A742E" w:rsidRDefault="00F3005A" w:rsidP="00F3005A">
      <w:pPr>
        <w:pStyle w:val="HeadingB"/>
        <w:rPr>
          <w:rFonts w:cs="Arial"/>
          <w:lang w:eastAsia="en-GB"/>
        </w:rPr>
      </w:pPr>
      <w:r w:rsidRPr="001A742E">
        <w:rPr>
          <w:rFonts w:cs="Arial"/>
          <w:lang w:eastAsia="en-GB"/>
        </w:rPr>
        <w:lastRenderedPageBreak/>
        <w:t xml:space="preserve">Publicity and rights </w:t>
      </w:r>
      <w:bookmarkStart w:id="1" w:name="_GoBack"/>
      <w:bookmarkEnd w:id="1"/>
    </w:p>
    <w:p w:rsidR="00F3005A" w:rsidRPr="001A742E" w:rsidRDefault="00F3005A" w:rsidP="00F3005A">
      <w:pPr>
        <w:rPr>
          <w:rFonts w:cs="Arial"/>
          <w:lang w:eastAsia="en-GB"/>
        </w:rPr>
      </w:pPr>
      <w:r w:rsidRPr="001A742E">
        <w:rPr>
          <w:rFonts w:cs="Arial"/>
          <w:lang w:eastAsia="en-GB"/>
        </w:rPr>
        <w:t xml:space="preserve">The British Council intends to publish the names of successful applicants on the British Council’s websites, social media channels, press releases and other promotional and marketing material. In addition, the British Council may write and publish articles about the successful applicant’s inclusion in the Season. </w:t>
      </w:r>
    </w:p>
    <w:p w:rsidR="00F3005A" w:rsidRPr="001A742E" w:rsidRDefault="00F3005A" w:rsidP="00F3005A">
      <w:pPr>
        <w:rPr>
          <w:rFonts w:cs="Arial"/>
          <w:lang w:eastAsia="en-GB"/>
        </w:rPr>
      </w:pPr>
      <w:r w:rsidRPr="001A742E">
        <w:rPr>
          <w:rFonts w:cs="Arial"/>
          <w:lang w:eastAsia="en-GB"/>
        </w:rPr>
        <w:t xml:space="preserve">By applying to the opportunity, each applicant agrees to the use of their name and agrees to co-operate with any such publicity or marketing if they are successful in their application. </w:t>
      </w:r>
    </w:p>
    <w:p w:rsidR="00F3005A" w:rsidRPr="001A742E" w:rsidRDefault="00F3005A" w:rsidP="00F3005A">
      <w:pPr>
        <w:rPr>
          <w:rFonts w:cs="Arial"/>
          <w:lang w:eastAsia="en-GB"/>
        </w:rPr>
      </w:pPr>
      <w:r w:rsidRPr="001A742E">
        <w:rPr>
          <w:rFonts w:cs="Arial"/>
          <w:lang w:eastAsia="en-GB"/>
        </w:rPr>
        <w:t xml:space="preserve">Applicants will retain copyright in the entry material that they submit to the British Council. By entering the opportunity each participant grants the British Council, free of charge, permission to use the entry material (including, without limitation, modifying and adapting it for operational and editorial reasons) in any media worldwide for purposes connected with the opportunity. </w:t>
      </w:r>
    </w:p>
    <w:p w:rsidR="00F3005A" w:rsidRPr="001A742E" w:rsidRDefault="00F3005A" w:rsidP="00F3005A">
      <w:pPr>
        <w:rPr>
          <w:rFonts w:cs="Arial"/>
          <w:lang w:eastAsia="en-GB"/>
        </w:rPr>
      </w:pPr>
      <w:r w:rsidRPr="001A742E">
        <w:rPr>
          <w:rFonts w:cs="Arial"/>
          <w:lang w:eastAsia="en-GB"/>
        </w:rPr>
        <w:t xml:space="preserve">All rights in the British Council’s name and logo, websites, Facebook pages, Twitter pages, press releases and other promotional and marketing material and all course and examination content and materials (together the “Council’s Materials”) shall vest in and remain with the British Council (or its licensors). </w:t>
      </w:r>
    </w:p>
    <w:p w:rsidR="00F3005A" w:rsidRPr="001A742E" w:rsidRDefault="00F3005A" w:rsidP="00F3005A">
      <w:pPr>
        <w:rPr>
          <w:rFonts w:cs="Arial"/>
          <w:lang w:eastAsia="en-GB"/>
        </w:rPr>
      </w:pPr>
      <w:r w:rsidRPr="001A742E">
        <w:rPr>
          <w:rFonts w:cs="Arial"/>
          <w:lang w:eastAsia="en-GB"/>
        </w:rPr>
        <w:t xml:space="preserve">By participating in the opportunity, applicants agree that they will not use, broadcast, publish, export, exploit, reproduce nor copy part or </w:t>
      </w:r>
      <w:proofErr w:type="gramStart"/>
      <w:r w:rsidRPr="001A742E">
        <w:rPr>
          <w:rFonts w:cs="Arial"/>
          <w:lang w:eastAsia="en-GB"/>
        </w:rPr>
        <w:t>all of</w:t>
      </w:r>
      <w:proofErr w:type="gramEnd"/>
      <w:r w:rsidRPr="001A742E">
        <w:rPr>
          <w:rFonts w:cs="Arial"/>
          <w:lang w:eastAsia="en-GB"/>
        </w:rPr>
        <w:t xml:space="preserve"> the Council’s Materials.</w:t>
      </w:r>
    </w:p>
    <w:p w:rsidR="00F3005A" w:rsidRDefault="00F3005A" w:rsidP="00F3005A">
      <w:pPr>
        <w:pStyle w:val="HeadingB"/>
      </w:pPr>
      <w:r>
        <w:t xml:space="preserve">Contractual Requirements  </w:t>
      </w:r>
    </w:p>
    <w:p w:rsidR="00F3005A" w:rsidRPr="00B55494" w:rsidRDefault="00F3005A" w:rsidP="00F3005A">
      <w:pPr>
        <w:rPr>
          <w:rFonts w:cs="Arial"/>
        </w:rPr>
      </w:pPr>
      <w:r w:rsidRPr="00B55494">
        <w:rPr>
          <w:rFonts w:eastAsia="Times New Roman" w:cs="Arial"/>
          <w:lang w:eastAsia="en-GB"/>
        </w:rPr>
        <w:t xml:space="preserve">Contracts will be issued to successful grantees in </w:t>
      </w:r>
      <w:r>
        <w:rPr>
          <w:rFonts w:eastAsia="Times New Roman" w:cs="Arial"/>
          <w:lang w:eastAsia="en-GB"/>
        </w:rPr>
        <w:t>Jan/Feb</w:t>
      </w:r>
      <w:r w:rsidRPr="00B55494">
        <w:rPr>
          <w:rFonts w:eastAsia="Times New Roman" w:cs="Arial"/>
          <w:lang w:eastAsia="en-GB"/>
        </w:rPr>
        <w:t xml:space="preserve"> 2021</w:t>
      </w:r>
    </w:p>
    <w:p w:rsidR="00F3005A" w:rsidRPr="00B614B7" w:rsidRDefault="00F3005A" w:rsidP="00F3005A">
      <w:pPr>
        <w:rPr>
          <w:rFonts w:cs="Arial"/>
        </w:rPr>
      </w:pPr>
      <w:r w:rsidRPr="00B614B7">
        <w:rPr>
          <w:rFonts w:cs="Arial"/>
        </w:rPr>
        <w:t xml:space="preserve">The contracting authority is the British Council which includes any subsidiary companies and other organisations that control or are controlled by the British Council from time to time (see: </w:t>
      </w:r>
      <w:hyperlink r:id="rId11" w:history="1">
        <w:r w:rsidRPr="00B614B7">
          <w:rPr>
            <w:rStyle w:val="Hyperlink"/>
            <w:rFonts w:cs="Arial"/>
          </w:rPr>
          <w:t>www.britishcouncil.org/organisation/structure/status</w:t>
        </w:r>
      </w:hyperlink>
      <w:r w:rsidRPr="00B614B7">
        <w:rPr>
          <w:rFonts w:cs="Arial"/>
        </w:rPr>
        <w:t xml:space="preserve">). </w:t>
      </w:r>
    </w:p>
    <w:p w:rsidR="00F3005A" w:rsidRPr="00830C52" w:rsidRDefault="00F3005A" w:rsidP="00F3005A">
      <w:pPr>
        <w:rPr>
          <w:rFonts w:cs="Arial"/>
        </w:rPr>
      </w:pPr>
      <w:r w:rsidRPr="00830C52">
        <w:rPr>
          <w:rFonts w:cs="Arial"/>
        </w:rPr>
        <w:t xml:space="preserve">The successful applicants will be expected to undertake activities online/in the UK, Australia and in the ODA recipient country/countries outlined in the project proposal. </w:t>
      </w:r>
    </w:p>
    <w:p w:rsidR="00F3005A" w:rsidRPr="00F3005A" w:rsidRDefault="00F3005A" w:rsidP="00F3005A"/>
    <w:bookmarkEnd w:id="0"/>
    <w:sectPr w:rsidR="00F3005A" w:rsidRPr="00F3005A" w:rsidSect="006254E5">
      <w:headerReference w:type="default" r:id="rId12"/>
      <w:footerReference w:type="default" r:id="rId13"/>
      <w:headerReference w:type="first" r:id="rId14"/>
      <w:footerReference w:type="first" r:id="rId15"/>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5A" w:rsidRDefault="00F3005A" w:rsidP="004E0F0F">
      <w:pPr>
        <w:spacing w:after="0" w:line="240" w:lineRule="auto"/>
      </w:pPr>
      <w:r>
        <w:separator/>
      </w:r>
    </w:p>
  </w:endnote>
  <w:endnote w:type="continuationSeparator" w:id="0">
    <w:p w:rsidR="00F3005A" w:rsidRDefault="00F3005A"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8DC" w:rsidRPr="00E418DC" w:rsidRDefault="00E418DC" w:rsidP="00E418DC">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Pr>
        <w:rFonts w:cs="Arial"/>
        <w:color w:val="230859" w:themeColor="text2"/>
        <w:sz w:val="24"/>
        <w:szCs w:val="26"/>
      </w:rPr>
      <w:t>2</w:t>
    </w:r>
    <w:r w:rsidRPr="00F730E1">
      <w:rPr>
        <w:rFonts w:cs="Arial"/>
        <w:color w:val="230859" w:themeColor="text2"/>
        <w:sz w:val="24"/>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8DC" w:rsidRPr="00E418DC" w:rsidRDefault="00F3005A" w:rsidP="00E418DC">
    <w:pPr>
      <w:pStyle w:val="Website"/>
      <w:rPr>
        <w:rFonts w:ascii="Arial" w:hAnsi="Arial" w:cs="Arial"/>
        <w:b/>
        <w:sz w:val="24"/>
        <w:szCs w:val="24"/>
      </w:rPr>
    </w:pPr>
    <w:r>
      <w:rPr>
        <w:rFonts w:ascii="Arial" w:hAnsi="Arial" w:cs="Arial"/>
        <w:b/>
        <w:sz w:val="24"/>
        <w:szCs w:val="24"/>
      </w:rPr>
      <w:br/>
    </w:r>
    <w:r w:rsidR="00E418DC"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5A" w:rsidRDefault="00F3005A" w:rsidP="004E0F0F">
      <w:pPr>
        <w:spacing w:after="0" w:line="240" w:lineRule="auto"/>
      </w:pPr>
      <w:r>
        <w:separator/>
      </w:r>
    </w:p>
  </w:footnote>
  <w:footnote w:type="continuationSeparator" w:id="0">
    <w:p w:rsidR="00F3005A" w:rsidRDefault="00F3005A" w:rsidP="004E0F0F">
      <w:pPr>
        <w:spacing w:after="0" w:line="240" w:lineRule="auto"/>
      </w:pPr>
      <w:r>
        <w:continuationSeparator/>
      </w:r>
    </w:p>
  </w:footnote>
  <w:footnote w:id="1">
    <w:p w:rsidR="00F3005A" w:rsidRPr="000566C1" w:rsidRDefault="00F3005A" w:rsidP="00F3005A">
      <w:pPr>
        <w:pStyle w:val="FootnoteText"/>
        <w:rPr>
          <w:lang w:val="en-US"/>
        </w:rPr>
      </w:pPr>
      <w:r>
        <w:rPr>
          <w:rStyle w:val="FootnoteReference"/>
        </w:rPr>
        <w:footnoteRef/>
      </w:r>
      <w:r>
        <w:t xml:space="preserve"> See for list of ODA eligible nations: </w:t>
      </w:r>
      <w:r w:rsidRPr="00AB0658">
        <w:t>http://www.oecd.org/dac/financing-sustainable-development/development-finance-standards/DAC-List-of-ODA-Recipients-for-reporting-2020-flows.pdf</w:t>
      </w:r>
    </w:p>
  </w:footnote>
  <w:footnote w:id="2">
    <w:p w:rsidR="00F3005A" w:rsidRPr="00DF31A9" w:rsidRDefault="00F3005A" w:rsidP="00F3005A">
      <w:pPr>
        <w:pStyle w:val="FootnoteText"/>
        <w:rPr>
          <w:lang w:val="en-US"/>
        </w:rPr>
      </w:pPr>
      <w:r>
        <w:rPr>
          <w:rStyle w:val="FootnoteReference"/>
        </w:rPr>
        <w:footnoteRef/>
      </w:r>
      <w:r>
        <w:t xml:space="preserve">UN’s Sustainable Development Goals: </w:t>
      </w:r>
      <w:r w:rsidRPr="005E4A52">
        <w:t>https://sdgs.un.org/goals</w:t>
      </w:r>
    </w:p>
  </w:footnote>
  <w:footnote w:id="3">
    <w:p w:rsidR="00F3005A" w:rsidRPr="000566C1" w:rsidRDefault="00F3005A" w:rsidP="00F3005A">
      <w:pPr>
        <w:pStyle w:val="FootnoteText"/>
        <w:rPr>
          <w:lang w:val="en-US"/>
        </w:rPr>
      </w:pPr>
      <w:r>
        <w:rPr>
          <w:rStyle w:val="FootnoteReference"/>
        </w:rPr>
        <w:footnoteRef/>
      </w:r>
      <w:r>
        <w:t xml:space="preserve"> See for list of ODA eligible nations: </w:t>
      </w:r>
      <w:r w:rsidRPr="00AB0658">
        <w:t>http://www.oecd.org/dac/financing-sustainable-development/development-finance-standards/DAC-List-of-ODA-Recipients-for-reporting-2020-flows.pdf</w:t>
      </w:r>
    </w:p>
    <w:p w:rsidR="00F3005A" w:rsidRPr="004F4DB0" w:rsidRDefault="00F3005A" w:rsidP="00F3005A">
      <w:pPr>
        <w:pStyle w:val="FootnoteText"/>
        <w:rPr>
          <w:lang w:val="en-US"/>
        </w:rPr>
      </w:pPr>
    </w:p>
  </w:footnote>
  <w:footnote w:id="4">
    <w:p w:rsidR="00F3005A" w:rsidRPr="004F4DB0" w:rsidRDefault="00F3005A" w:rsidP="00F3005A">
      <w:pPr>
        <w:pStyle w:val="FootnoteText"/>
        <w:rPr>
          <w:rFonts w:ascii="Arial" w:hAnsi="Arial" w:cs="Arial"/>
          <w:sz w:val="18"/>
          <w:szCs w:val="18"/>
          <w:lang w:val="en-US"/>
        </w:rPr>
      </w:pPr>
      <w:r w:rsidRPr="004F4DB0">
        <w:rPr>
          <w:rStyle w:val="FootnoteReference"/>
          <w:rFonts w:ascii="Arial" w:hAnsi="Arial" w:cs="Arial"/>
          <w:sz w:val="18"/>
          <w:szCs w:val="18"/>
        </w:rPr>
        <w:footnoteRef/>
      </w:r>
      <w:r w:rsidRPr="004F4DB0">
        <w:rPr>
          <w:rFonts w:ascii="Arial" w:hAnsi="Arial" w:cs="Arial"/>
          <w:sz w:val="18"/>
          <w:szCs w:val="18"/>
        </w:rPr>
        <w:t xml:space="preserve"> </w:t>
      </w:r>
      <w:r w:rsidRPr="004F4DB0">
        <w:rPr>
          <w:rFonts w:ascii="Arial" w:hAnsi="Arial" w:cs="Arial"/>
          <w:color w:val="000000"/>
          <w:sz w:val="18"/>
          <w:szCs w:val="18"/>
        </w:rPr>
        <w:t xml:space="preserve">For more detail </w:t>
      </w:r>
      <w:hyperlink r:id="rId1" w:history="1">
        <w:r w:rsidRPr="004F4DB0">
          <w:rPr>
            <w:rStyle w:val="Hyperlink"/>
            <w:rFonts w:cs="Arial"/>
            <w:sz w:val="18"/>
            <w:szCs w:val="18"/>
          </w:rPr>
          <w:t>https://services.parliament.uk/bills/2013-14/internationaldevelopmentgenderequality.html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629" w:rsidRDefault="006254E5">
    <w:pPr>
      <w:pStyle w:val="Header"/>
    </w:pPr>
    <w:bookmarkStart w:id="2" w:name="_Hlk24626979"/>
    <w:bookmarkStart w:id="3" w:name="_Hlk24626980"/>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7216" behindDoc="0" locked="0" layoutInCell="1" allowOverlap="1" wp14:anchorId="026E722E" wp14:editId="621EF2C0">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B8A3B2" id="Straight Connector 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" strokecolor="#5deb4b [3209]" strokeweight="3pt">
              <v:stroke endcap="round"/>
              <w10:wrap anchory="line"/>
            </v:line>
          </w:pict>
        </mc:Fallback>
      </mc:AlternateConten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CA5" w:rsidRDefault="00124CA5">
    <w:pPr>
      <w:pStyle w:val="Header"/>
    </w:pPr>
    <w:r>
      <w:rPr>
        <w:noProof/>
        <w:lang w:val="en-US"/>
      </w:rPr>
      <w:drawing>
        <wp:anchor distT="0" distB="0" distL="114300" distR="114300" simplePos="0" relativeHeight="251664384" behindDoc="1" locked="0" layoutInCell="1" allowOverlap="1" wp14:anchorId="585397C0" wp14:editId="19F19617">
          <wp:simplePos x="0" y="0"/>
          <wp:positionH relativeFrom="page">
            <wp:posOffset>0</wp:posOffset>
          </wp:positionH>
          <wp:positionV relativeFrom="page">
            <wp:posOffset>0</wp:posOffset>
          </wp:positionV>
          <wp:extent cx="7560000" cy="2916000"/>
          <wp:effectExtent l="0" t="0" r="3175" b="0"/>
          <wp:wrapNone/>
          <wp:docPr id="6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header_cropped.svg"/>
                  <pic:cNvPicPr/>
                </pic:nvPicPr>
                <pic:blipFill>
                  <a:blip r:embed="rId1"/>
                  <a:stretch>
                    <a:fillRect/>
                  </a:stretch>
                </pic:blipFill>
                <pic:spPr>
                  <a:xfrm>
                    <a:off x="0" y="0"/>
                    <a:ext cx="7560000" cy="291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45E9DC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2655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45291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3724B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7926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BE79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0D6D80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F464A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A944B5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B98F6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D27A1F"/>
    <w:multiLevelType w:val="hybridMultilevel"/>
    <w:tmpl w:val="21AC28C0"/>
    <w:lvl w:ilvl="0" w:tplc="195C5E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F3331F"/>
    <w:multiLevelType w:val="hybridMultilevel"/>
    <w:tmpl w:val="DBFA9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6C46DE"/>
    <w:multiLevelType w:val="hybridMultilevel"/>
    <w:tmpl w:val="0CC2E67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0331451"/>
    <w:multiLevelType w:val="hybridMultilevel"/>
    <w:tmpl w:val="11D0C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624CE4"/>
    <w:multiLevelType w:val="hybridMultilevel"/>
    <w:tmpl w:val="2F98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A60904"/>
    <w:multiLevelType w:val="hybridMultilevel"/>
    <w:tmpl w:val="3F4C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C36986"/>
    <w:multiLevelType w:val="hybridMultilevel"/>
    <w:tmpl w:val="2AA2DE82"/>
    <w:lvl w:ilvl="0" w:tplc="195C5EF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D45ED0"/>
    <w:multiLevelType w:val="hybridMultilevel"/>
    <w:tmpl w:val="6A4C567C"/>
    <w:lvl w:ilvl="0" w:tplc="252C9124">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1" w15:restartNumberingAfterBreak="0">
    <w:nsid w:val="5A9C57B9"/>
    <w:multiLevelType w:val="hybridMultilevel"/>
    <w:tmpl w:val="2A3A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8A0F9D"/>
    <w:multiLevelType w:val="hybridMultilevel"/>
    <w:tmpl w:val="F982A250"/>
    <w:lvl w:ilvl="0" w:tplc="87C06B54">
      <w:start w:val="1"/>
      <w:numFmt w:val="bullet"/>
      <w:pStyle w:val="SubBullets"/>
      <w:lvlText w:val=""/>
      <w:lvlJc w:val="left"/>
      <w:pPr>
        <w:ind w:left="644"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21D7C"/>
    <w:multiLevelType w:val="hybridMultilevel"/>
    <w:tmpl w:val="CF2AFA3C"/>
    <w:lvl w:ilvl="0" w:tplc="6FA0ADFA">
      <w:start w:val="1"/>
      <w:numFmt w:val="bullet"/>
      <w:pStyle w:val="Bullets"/>
      <w:lvlText w:val=""/>
      <w:lvlJc w:val="left"/>
      <w:pPr>
        <w:ind w:left="360"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D1293"/>
    <w:multiLevelType w:val="hybridMultilevel"/>
    <w:tmpl w:val="A2E0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1"/>
  </w:num>
  <w:num w:numId="4">
    <w:abstractNumId w:val="23"/>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3"/>
  </w:num>
  <w:num w:numId="17">
    <w:abstractNumId w:val="22"/>
  </w:num>
  <w:num w:numId="18">
    <w:abstractNumId w:val="23"/>
  </w:num>
  <w:num w:numId="19">
    <w:abstractNumId w:val="2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18"/>
  </w:num>
  <w:num w:numId="24">
    <w:abstractNumId w:val="14"/>
  </w:num>
  <w:num w:numId="25">
    <w:abstractNumId w:val="16"/>
  </w:num>
  <w:num w:numId="26">
    <w:abstractNumId w:val="24"/>
  </w:num>
  <w:num w:numId="27">
    <w:abstractNumId w:val="21"/>
  </w:num>
  <w:num w:numId="28">
    <w:abstractNumId w:val="17"/>
  </w:num>
  <w:num w:numId="29">
    <w:abstractNumId w:val="15"/>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5A"/>
    <w:rsid w:val="00003B0D"/>
    <w:rsid w:val="000171EB"/>
    <w:rsid w:val="00092917"/>
    <w:rsid w:val="000A3054"/>
    <w:rsid w:val="000C5574"/>
    <w:rsid w:val="00124CA5"/>
    <w:rsid w:val="00154626"/>
    <w:rsid w:val="00187F9D"/>
    <w:rsid w:val="001A2060"/>
    <w:rsid w:val="001B2E1D"/>
    <w:rsid w:val="001F2942"/>
    <w:rsid w:val="001F5C75"/>
    <w:rsid w:val="00200217"/>
    <w:rsid w:val="00215EC6"/>
    <w:rsid w:val="002348FA"/>
    <w:rsid w:val="002542F1"/>
    <w:rsid w:val="00267264"/>
    <w:rsid w:val="00271072"/>
    <w:rsid w:val="00295E02"/>
    <w:rsid w:val="00297B4F"/>
    <w:rsid w:val="002C0274"/>
    <w:rsid w:val="003018FF"/>
    <w:rsid w:val="003029E5"/>
    <w:rsid w:val="003140C7"/>
    <w:rsid w:val="00357565"/>
    <w:rsid w:val="00357CC8"/>
    <w:rsid w:val="00381494"/>
    <w:rsid w:val="00395BBC"/>
    <w:rsid w:val="003F3A5C"/>
    <w:rsid w:val="0040649C"/>
    <w:rsid w:val="0041485A"/>
    <w:rsid w:val="0042729F"/>
    <w:rsid w:val="00445A85"/>
    <w:rsid w:val="004E0F0F"/>
    <w:rsid w:val="004F0981"/>
    <w:rsid w:val="004F3CAA"/>
    <w:rsid w:val="004F7ED5"/>
    <w:rsid w:val="005155AE"/>
    <w:rsid w:val="00527637"/>
    <w:rsid w:val="00530467"/>
    <w:rsid w:val="0058704A"/>
    <w:rsid w:val="005900A5"/>
    <w:rsid w:val="005F5868"/>
    <w:rsid w:val="006254E5"/>
    <w:rsid w:val="0062643D"/>
    <w:rsid w:val="0067191C"/>
    <w:rsid w:val="00680380"/>
    <w:rsid w:val="006C2629"/>
    <w:rsid w:val="006C58A9"/>
    <w:rsid w:val="006F096D"/>
    <w:rsid w:val="006F17D0"/>
    <w:rsid w:val="00734B18"/>
    <w:rsid w:val="007370CE"/>
    <w:rsid w:val="00743AE8"/>
    <w:rsid w:val="00753755"/>
    <w:rsid w:val="007E0313"/>
    <w:rsid w:val="007F55B4"/>
    <w:rsid w:val="00804B94"/>
    <w:rsid w:val="00804D01"/>
    <w:rsid w:val="00806207"/>
    <w:rsid w:val="008529F8"/>
    <w:rsid w:val="008942F1"/>
    <w:rsid w:val="00897A09"/>
    <w:rsid w:val="008A4222"/>
    <w:rsid w:val="008B029C"/>
    <w:rsid w:val="008C0629"/>
    <w:rsid w:val="0093045E"/>
    <w:rsid w:val="00935431"/>
    <w:rsid w:val="00942B47"/>
    <w:rsid w:val="00945F08"/>
    <w:rsid w:val="00981E29"/>
    <w:rsid w:val="009837E5"/>
    <w:rsid w:val="00997E55"/>
    <w:rsid w:val="009B5E43"/>
    <w:rsid w:val="009B6DCE"/>
    <w:rsid w:val="009F06E4"/>
    <w:rsid w:val="009F0B50"/>
    <w:rsid w:val="009F524A"/>
    <w:rsid w:val="00A20B81"/>
    <w:rsid w:val="00A33158"/>
    <w:rsid w:val="00A46111"/>
    <w:rsid w:val="00A55B8E"/>
    <w:rsid w:val="00A7218F"/>
    <w:rsid w:val="00A75B0F"/>
    <w:rsid w:val="00A868CB"/>
    <w:rsid w:val="00AB21F3"/>
    <w:rsid w:val="00AC73B6"/>
    <w:rsid w:val="00AF1C59"/>
    <w:rsid w:val="00B030FD"/>
    <w:rsid w:val="00B13927"/>
    <w:rsid w:val="00B227CE"/>
    <w:rsid w:val="00B26E40"/>
    <w:rsid w:val="00B461A7"/>
    <w:rsid w:val="00B53093"/>
    <w:rsid w:val="00B76C97"/>
    <w:rsid w:val="00C21062"/>
    <w:rsid w:val="00C5378A"/>
    <w:rsid w:val="00C62911"/>
    <w:rsid w:val="00CA3FC2"/>
    <w:rsid w:val="00CD1F6F"/>
    <w:rsid w:val="00CD5051"/>
    <w:rsid w:val="00D01DA2"/>
    <w:rsid w:val="00D21DF9"/>
    <w:rsid w:val="00D6457F"/>
    <w:rsid w:val="00DA4379"/>
    <w:rsid w:val="00E418DC"/>
    <w:rsid w:val="00E47370"/>
    <w:rsid w:val="00E57FE2"/>
    <w:rsid w:val="00E9411F"/>
    <w:rsid w:val="00E96DCD"/>
    <w:rsid w:val="00F12C54"/>
    <w:rsid w:val="00F3005A"/>
    <w:rsid w:val="00F3122A"/>
    <w:rsid w:val="00F730E1"/>
    <w:rsid w:val="00F7472E"/>
    <w:rsid w:val="00F86BA1"/>
    <w:rsid w:val="00F933B9"/>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4800FC"/>
  <w14:defaultImageDpi w14:val="330"/>
  <w15:docId w15:val="{77B14088-A7B6-4266-8746-EE4D2961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A09"/>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F5868"/>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897A09"/>
    <w:pPr>
      <w:numPr>
        <w:numId w:val="21"/>
      </w:numPr>
      <w:spacing w:after="120" w:line="276" w:lineRule="auto"/>
      <w:ind w:left="1080"/>
    </w:pPr>
    <w:rPr>
      <w:rFonts w:ascii="Arial" w:hAnsi="Arial"/>
    </w:rPr>
  </w:style>
  <w:style w:type="paragraph" w:customStyle="1" w:styleId="SubBullets">
    <w:name w:val="Sub Bullets"/>
    <w:qFormat/>
    <w:rsid w:val="00897A09"/>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DA4379"/>
    <w:pPr>
      <w:spacing w:before="600" w:after="1400"/>
    </w:pPr>
    <w:rPr>
      <w:b/>
      <w:color w:val="5DEB4B" w:themeColor="accent6"/>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3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customStyle="1" w:styleId="GridTable4-Accent31">
    <w:name w:val="Grid Table 4 - Accent 31"/>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customStyle="1" w:styleId="PlainTable51">
    <w:name w:val="Plain Table 51"/>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customStyle="1" w:styleId="UnresolvedMention2">
    <w:name w:val="Unresolved Mention2"/>
    <w:basedOn w:val="DefaultParagraphFont"/>
    <w:uiPriority w:val="99"/>
    <w:semiHidden/>
    <w:unhideWhenUsed/>
    <w:rsid w:val="009F06E4"/>
    <w:rPr>
      <w:color w:val="605E5C"/>
      <w:shd w:val="clear" w:color="auto" w:fill="E1DFDD"/>
    </w:rPr>
  </w:style>
  <w:style w:type="table" w:customStyle="1" w:styleId="GridTable1Light-Accent11">
    <w:name w:val="Grid Table 1 Light - Accent 1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753755"/>
    <w:pPr>
      <w:spacing w:before="200" w:after="160"/>
      <w:ind w:left="284" w:right="284"/>
    </w:pPr>
    <w:rPr>
      <w:i/>
      <w:iCs/>
      <w:color w:val="23085A"/>
    </w:rPr>
  </w:style>
  <w:style w:type="character" w:customStyle="1" w:styleId="QuoteChar">
    <w:name w:val="Quote Char"/>
    <w:basedOn w:val="DefaultParagraphFont"/>
    <w:link w:val="Quote"/>
    <w:uiPriority w:val="29"/>
    <w:rsid w:val="00753755"/>
    <w:rPr>
      <w:rFonts w:ascii="Arial" w:hAnsi="Arial"/>
      <w:i/>
      <w:iCs/>
      <w:color w:val="23085A"/>
    </w:rPr>
  </w:style>
  <w:style w:type="paragraph" w:styleId="ListNumber">
    <w:name w:val="List Number"/>
    <w:basedOn w:val="Normal"/>
    <w:uiPriority w:val="99"/>
    <w:unhideWhenUsed/>
    <w:qFormat/>
    <w:rsid w:val="00897A09"/>
    <w:pPr>
      <w:numPr>
        <w:numId w:val="20"/>
      </w:numPr>
      <w:ind w:left="720" w:hanging="357"/>
    </w:pPr>
  </w:style>
  <w:style w:type="paragraph" w:styleId="NormalWeb">
    <w:name w:val="Normal (Web)"/>
    <w:basedOn w:val="Normal"/>
    <w:uiPriority w:val="99"/>
    <w:unhideWhenUsed/>
    <w:rsid w:val="00F3005A"/>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F3005A"/>
    <w:pPr>
      <w:spacing w:after="160" w:line="259" w:lineRule="auto"/>
      <w:ind w:left="720"/>
      <w:contextualSpacing/>
    </w:pPr>
    <w:rPr>
      <w:rFonts w:asciiTheme="minorHAnsi" w:eastAsiaTheme="minorHAnsi" w:hAnsiTheme="minorHAnsi"/>
      <w:sz w:val="22"/>
      <w:szCs w:val="22"/>
    </w:rPr>
  </w:style>
  <w:style w:type="paragraph" w:styleId="FootnoteText">
    <w:name w:val="footnote text"/>
    <w:basedOn w:val="Normal"/>
    <w:link w:val="FootnoteTextChar"/>
    <w:uiPriority w:val="99"/>
    <w:semiHidden/>
    <w:unhideWhenUsed/>
    <w:rsid w:val="00F3005A"/>
    <w:pPr>
      <w:spacing w:after="0" w:line="240" w:lineRule="auto"/>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F3005A"/>
    <w:rPr>
      <w:rFonts w:eastAsiaTheme="minorHAnsi"/>
      <w:sz w:val="20"/>
      <w:szCs w:val="20"/>
    </w:rPr>
  </w:style>
  <w:style w:type="character" w:styleId="FootnoteReference">
    <w:name w:val="footnote reference"/>
    <w:basedOn w:val="DefaultParagraphFont"/>
    <w:uiPriority w:val="99"/>
    <w:semiHidden/>
    <w:unhideWhenUsed/>
    <w:rsid w:val="00F3005A"/>
    <w:rPr>
      <w:vertAlign w:val="superscript"/>
    </w:rPr>
  </w:style>
  <w:style w:type="table" w:styleId="GridTable1Light-Accent6">
    <w:name w:val="Grid Table 1 Light Accent 6"/>
    <w:basedOn w:val="TableNormal"/>
    <w:uiPriority w:val="46"/>
    <w:rsid w:val="00F3005A"/>
    <w:tblPr>
      <w:tblStyleRowBandSize w:val="1"/>
      <w:tblStyleColBandSize w:val="1"/>
      <w:tblBorders>
        <w:top w:val="single" w:sz="4" w:space="0" w:color="BEF7B7" w:themeColor="accent6" w:themeTint="66"/>
        <w:left w:val="single" w:sz="4" w:space="0" w:color="BEF7B7" w:themeColor="accent6" w:themeTint="66"/>
        <w:bottom w:val="single" w:sz="4" w:space="0" w:color="BEF7B7" w:themeColor="accent6" w:themeTint="66"/>
        <w:right w:val="single" w:sz="4" w:space="0" w:color="BEF7B7" w:themeColor="accent6" w:themeTint="66"/>
        <w:insideH w:val="single" w:sz="4" w:space="0" w:color="BEF7B7" w:themeColor="accent6" w:themeTint="66"/>
        <w:insideV w:val="single" w:sz="4" w:space="0" w:color="BEF7B7" w:themeColor="accent6" w:themeTint="66"/>
      </w:tblBorders>
    </w:tblPr>
    <w:tblStylePr w:type="firstRow">
      <w:rPr>
        <w:b/>
        <w:bCs/>
      </w:rPr>
      <w:tblPr/>
      <w:tcPr>
        <w:tcBorders>
          <w:bottom w:val="single" w:sz="12" w:space="0" w:color="9DF393" w:themeColor="accent6" w:themeTint="99"/>
        </w:tcBorders>
      </w:tcPr>
    </w:tblStylePr>
    <w:tblStylePr w:type="lastRow">
      <w:rPr>
        <w:b/>
        <w:bCs/>
      </w:rPr>
      <w:tblPr/>
      <w:tcPr>
        <w:tcBorders>
          <w:top w:val="double" w:sz="2" w:space="0" w:color="9DF393"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F3005A"/>
    <w:tblPr>
      <w:tblStyleRowBandSize w:val="1"/>
      <w:tblStyleColBandSize w:val="1"/>
      <w:tblBorders>
        <w:top w:val="single" w:sz="4" w:space="0" w:color="9DF393" w:themeColor="accent6" w:themeTint="99"/>
        <w:left w:val="single" w:sz="4" w:space="0" w:color="9DF393" w:themeColor="accent6" w:themeTint="99"/>
        <w:bottom w:val="single" w:sz="4" w:space="0" w:color="9DF393" w:themeColor="accent6" w:themeTint="99"/>
        <w:right w:val="single" w:sz="4" w:space="0" w:color="9DF393" w:themeColor="accent6" w:themeTint="99"/>
        <w:insideH w:val="single" w:sz="4" w:space="0" w:color="9DF393" w:themeColor="accent6" w:themeTint="99"/>
        <w:insideV w:val="single" w:sz="4" w:space="0" w:color="9DF393" w:themeColor="accent6" w:themeTint="99"/>
      </w:tblBorders>
    </w:tblPr>
    <w:tblStylePr w:type="firstRow">
      <w:rPr>
        <w:b/>
        <w:bCs/>
        <w:color w:val="FFFFFF" w:themeColor="background1"/>
      </w:rPr>
      <w:tblPr/>
      <w:tcPr>
        <w:tcBorders>
          <w:top w:val="single" w:sz="4" w:space="0" w:color="5DEB4B" w:themeColor="accent6"/>
          <w:left w:val="single" w:sz="4" w:space="0" w:color="5DEB4B" w:themeColor="accent6"/>
          <w:bottom w:val="single" w:sz="4" w:space="0" w:color="5DEB4B" w:themeColor="accent6"/>
          <w:right w:val="single" w:sz="4" w:space="0" w:color="5DEB4B" w:themeColor="accent6"/>
          <w:insideH w:val="nil"/>
          <w:insideV w:val="nil"/>
        </w:tcBorders>
        <w:shd w:val="clear" w:color="auto" w:fill="5DEB4B" w:themeFill="accent6"/>
      </w:tcPr>
    </w:tblStylePr>
    <w:tblStylePr w:type="lastRow">
      <w:rPr>
        <w:b/>
        <w:bCs/>
      </w:rPr>
      <w:tblPr/>
      <w:tcPr>
        <w:tcBorders>
          <w:top w:val="double" w:sz="4" w:space="0" w:color="5DEB4B" w:themeColor="accent6"/>
        </w:tcBorders>
      </w:tcPr>
    </w:tblStylePr>
    <w:tblStylePr w:type="firstCol">
      <w:rPr>
        <w:b/>
        <w:bCs/>
      </w:rPr>
    </w:tblStylePr>
    <w:tblStylePr w:type="lastCol">
      <w:rPr>
        <w:b/>
        <w:bCs/>
      </w:rPr>
    </w:tblStylePr>
    <w:tblStylePr w:type="band1Vert">
      <w:tblPr/>
      <w:tcPr>
        <w:shd w:val="clear" w:color="auto" w:fill="DEFBDB" w:themeFill="accent6" w:themeFillTint="33"/>
      </w:tcPr>
    </w:tblStylePr>
    <w:tblStylePr w:type="band1Horz">
      <w:tblPr/>
      <w:tcPr>
        <w:shd w:val="clear" w:color="auto" w:fill="DEFBDB"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255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au/uk-australia-2021-22/how-to-apply/uk/uk-australia-applications-%E2%80%93-higher-educ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tishcouncil.org/organisation/structure/stat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HE@britishcouncil.org" TargetMode="External"/><Relationship Id="rId4" Type="http://schemas.openxmlformats.org/officeDocument/2006/relationships/settings" Target="settings.xml"/><Relationship Id="rId9" Type="http://schemas.openxmlformats.org/officeDocument/2006/relationships/hyperlink" Target="https://education-services.britishcouncil.org/front?no_cache=1601985108"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rvices.parliament.uk/bills/2013-14/internationaldevelopmentgenderequality.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Green\Meeting%20agenda.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CF65D-7D68-477F-BC59-FFD5DDC2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agenda</Template>
  <TotalTime>6</TotalTime>
  <Pages>8</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Kate (Australia)</dc:creator>
  <cp:keywords/>
  <dc:description/>
  <cp:lastModifiedBy>Murray, Kate (Australia)</cp:lastModifiedBy>
  <cp:revision>1</cp:revision>
  <cp:lastPrinted>2019-10-24T14:59:00Z</cp:lastPrinted>
  <dcterms:created xsi:type="dcterms:W3CDTF">2020-10-07T22:23:00Z</dcterms:created>
  <dcterms:modified xsi:type="dcterms:W3CDTF">2020-10-07T22:29:00Z</dcterms:modified>
</cp:coreProperties>
</file>